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2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6"/>
                <w:sz w:val="16"/>
                <w:u w:val="none"/>
              </w:rPr>
              <w:t>Assessed borrowing position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ASSESSED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MULTI-LENDER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STRESS-TESTED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01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Assessed capacity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Headline position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MAXIMUM CAPACITY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INDICATIVE PRICE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DEPOSIT REQUIRED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ASSESSMENT RATE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{{assessment.maxCapacity}}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Highest on panel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{{assessment.indicativePrice}}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At 80% LVR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{{assessment.deposit}}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Plus costs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{{assessment.rate}}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Incl. 3% buffer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What this means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02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Inputs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the assessment is built on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Income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Income"/>
        <w:tblDescription w:val="Columns: Applicant, Income type, Gross annual, Shading, Assessed"/>
      </w:tblPr>
      <w:tblGrid>
        <w:gridCol w:w="1995"/>
        <w:gridCol w:w="3051"/>
        <w:gridCol w:w="1877"/>
        <w:gridCol w:w="1291"/>
        <w:gridCol w:w="1877"/>
      </w:tblGrid>
      <w:tr>
        <w:trPr>
          <w:cantSplit/>
          <w:trHeight w:val="420" w:hRule="atLeast"/>
          <w:tblHeader/>
        </w:trPr>
        <w:tc>
          <w:tcPr>
            <w:tcW w:type="dxa" w:w="19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Applicant</w:t>
            </w:r>
          </w:p>
        </w:tc>
        <w:tc>
          <w:tcPr>
            <w:tcW w:type="dxa" w:w="305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Income type</w:t>
            </w:r>
          </w:p>
        </w:tc>
        <w:tc>
          <w:tcPr>
            <w:tcW w:type="dxa" w:w="187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Gross annual</w:t>
            </w:r>
          </w:p>
        </w:tc>
        <w:tc>
          <w:tcPr>
            <w:tcW w:type="dxa" w:w="129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Shading</w:t>
            </w:r>
          </w:p>
        </w:tc>
        <w:tc>
          <w:tcPr>
            <w:tcW w:type="dxa" w:w="187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Assessed</w:t>
            </w:r>
          </w:p>
        </w:tc>
      </w:tr>
      <w:tr>
        <w:trPr>
          <w:cantSplit/>
          <w:trHeight w:val="397" w:hRule="atLeast"/>
        </w:trPr>
        <w:tc>
          <w:tcPr>
            <w:tcW w:type="dxa" w:w="19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305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{{incomeType}}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29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19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305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{{incomeType}}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29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19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305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{{incomeType}}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29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19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305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{{incomeType}}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29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19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{{applicant}}</w:t>
            </w:r>
          </w:p>
        </w:tc>
        <w:tc>
          <w:tcPr>
            <w:tcW w:type="dxa" w:w="305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{{incomeType}}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  <w:tc>
          <w:tcPr>
            <w:tcW w:type="dxa" w:w="129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19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assessed income</w:t>
            </w:r>
          </w:p>
        </w:tc>
        <w:tc>
          <w:tcPr>
            <w:tcW w:type="dxa" w:w="305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$317,800</w:t>
            </w:r>
          </w:p>
        </w:tc>
        <w:tc>
          <w:tcPr>
            <w:tcW w:type="dxa" w:w="129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877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$302,240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Commitments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mmitments"/>
        <w:tblDescription w:val="Columns: Commitment, Lender, Limit / balance, Actual, Assessed"/>
      </w:tblPr>
      <w:tblGrid>
        <w:gridCol w:w="3096"/>
        <w:gridCol w:w="1720"/>
        <w:gridCol w:w="1949"/>
        <w:gridCol w:w="1605"/>
        <w:gridCol w:w="1720"/>
      </w:tblGrid>
      <w:tr>
        <w:trPr>
          <w:cantSplit/>
          <w:trHeight w:val="420" w:hRule="atLeast"/>
          <w:tblHeader/>
        </w:trPr>
        <w:tc>
          <w:tcPr>
            <w:tcW w:type="dxa" w:w="309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Commitment</w:t>
            </w:r>
          </w:p>
        </w:tc>
        <w:tc>
          <w:tcPr>
            <w:tcW w:type="dxa" w:w="17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</w:t>
            </w:r>
          </w:p>
        </w:tc>
        <w:tc>
          <w:tcPr>
            <w:tcW w:type="dxa" w:w="19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Limit / balance</w:t>
            </w:r>
          </w:p>
        </w:tc>
        <w:tc>
          <w:tcPr>
            <w:tcW w:type="dxa" w:w="160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Actual</w:t>
            </w:r>
          </w:p>
        </w:tc>
        <w:tc>
          <w:tcPr>
            <w:tcW w:type="dxa" w:w="172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Assessed</w:t>
            </w:r>
          </w:p>
        </w:tc>
      </w:tr>
      <w:tr>
        <w:trPr>
          <w:cantSplit/>
          <w:trHeight w:val="397" w:hRule="atLeast"/>
        </w:trPr>
        <w:tc>
          <w:tcPr>
            <w:tcW w:type="dxa" w:w="30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9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60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30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9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60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30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9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60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30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9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60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30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{{lender}}</w:t>
            </w:r>
          </w:p>
        </w:tc>
        <w:tc>
          <w:tcPr>
            <w:tcW w:type="dxa" w:w="19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60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{{actual}}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{{assessed}}</w:t>
            </w:r>
          </w:p>
        </w:tc>
      </w:tr>
      <w:tr>
        <w:trPr>
          <w:cantSplit/>
          <w:trHeight w:val="397" w:hRule="atLeast"/>
        </w:trPr>
        <w:tc>
          <w:tcPr>
            <w:tcW w:type="dxa" w:w="309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assessed commitments</w:t>
            </w: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949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60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720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$7,779/mo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Credit card limits are assessed at 3.8% of the limit each month whether or not the card is drawn.</w:t>
      </w:r>
    </w:p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Assessment assumptions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9"/>
              <w:gridCol w:w="2893"/>
              <w:gridCol w:w="1929"/>
              <w:gridCol w:w="2893"/>
            </w:tblGrid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Assessment rate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{{assessment.rate}}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Living expenses basis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{{assessment.hem}}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Declared expenses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{{assessment.declared}}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HEM benchmark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{{assessment.hemValue}}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Rental shading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{{assessment.rentalShading}}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Bonus shading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{{assessment.bonusShading}}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Assessment date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{{assessment.date}}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Dependants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{{assessment.dependants}}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Assessment rates and policies change frequently. This assessment is indicative only and is not an approval or an offer of credit.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03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Lender comparison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Where capacity differs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Assessed capacity by lender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{{lender.name}}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{{lender.capacity}}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{{lender.name}}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{{lender.capacity}}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{{lender.name}}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{{lender.capacity}}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{{lender.name}}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{{lender.capacity}}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Capacity is the maximum loan each lender's calculator returns on the inputs above. It is not an approval.</w:t>
      </w:r>
    </w:p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Lender detail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ender detail"/>
        <w:tblDescription w:val="Columns: Lender, Capacity, Assessment rate, Rental shading, Policy note"/>
      </w:tblPr>
      <w:tblGrid>
        <w:gridCol w:w="1570"/>
        <w:gridCol w:w="1794"/>
        <w:gridCol w:w="1794"/>
        <w:gridCol w:w="1570"/>
        <w:gridCol w:w="3364"/>
      </w:tblGrid>
      <w:tr>
        <w:trPr>
          <w:cantSplit/>
          <w:trHeight w:val="420" w:hRule="atLeast"/>
          <w:tblHeader/>
        </w:trPr>
        <w:tc>
          <w:tcPr>
            <w:tcW w:type="dxa" w:w="157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Lender</w:t>
            </w:r>
          </w:p>
        </w:tc>
        <w:tc>
          <w:tcPr>
            <w:tcW w:type="dxa" w:w="17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Capacity</w:t>
            </w:r>
          </w:p>
        </w:tc>
        <w:tc>
          <w:tcPr>
            <w:tcW w:type="dxa" w:w="17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Assessment rate</w:t>
            </w:r>
          </w:p>
        </w:tc>
        <w:tc>
          <w:tcPr>
            <w:tcW w:type="dxa" w:w="157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Rental shading</w:t>
            </w:r>
          </w:p>
        </w:tc>
        <w:tc>
          <w:tcPr>
            <w:tcW w:type="dxa" w:w="336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Policy note</w:t>
            </w:r>
          </w:p>
        </w:tc>
      </w:tr>
      <w:tr>
        <w:trPr>
          <w:cantSplit/>
          <w:trHeight w:val="397" w:hRule="atLeast"/>
        </w:trPr>
        <w:tc>
          <w:tcPr>
            <w:tcW w:type="dxa" w:w="15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{{capacity}}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336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15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{{capacity}}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336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15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{{capacity}}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336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15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{{capacity}}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336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  <w:tr>
        <w:trPr>
          <w:cantSplit/>
          <w:trHeight w:val="397" w:hRule="atLeast"/>
        </w:trPr>
        <w:tc>
          <w:tcPr>
            <w:tcW w:type="dxa" w:w="15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{{capacity}}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{{shading}}</w:t>
            </w:r>
          </w:p>
        </w:tc>
        <w:tc>
          <w:tcPr>
            <w:tcW w:type="dxa" w:w="336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04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Sensitivity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changes the answer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Capacity under stress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apacity under stress"/>
        <w:tblDescription w:val="Compares: Base case, Rate +1%, Rate +2%, Income −10%"/>
      </w:tblPr>
      <w:tblGrid>
        <w:gridCol w:w="2624"/>
        <w:gridCol w:w="1867"/>
        <w:gridCol w:w="1867"/>
        <w:gridCol w:w="1867"/>
        <w:gridCol w:w="1867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1D6FE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Base case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Rate +1%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Rate +2%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Income −10%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Assessed capacity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{{sensitivity.base}}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{{sensitivity.rate1}}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{{sensitivity.rate2}}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{{sensitivity.income}}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Indicative price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$1,590,000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$1,455,000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$1,330,000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$1,418,000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Change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—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−$116,000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−$220,000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−$142,000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Deposit required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$318,000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$291,000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$266,000</w:t>
            </w:r>
          </w:p>
        </w:tc>
        <w:tc>
          <w:tcPr>
            <w:tcW w:type="dxa" w:w="186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$284,000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What would improve capacity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{{assessment.levers[0]}}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{{assessment.levers[1]}}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D6FE0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{{assessment.levers[2]}}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5"/>
                <w:u w:val="none"/>
              </w:rPr>
              <w:t>Important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{{report.caveat}}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Borrowing Capacity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Borrowing Capacity Report</dc:title>
  <dc:subject>Assessed borrowing capacity across lenders, with the inputs, the assessment-rate treatment and the sensitivity that produced it.</dc:subject>
  <dc:creator>Aurixa Systems</dc:creator>
  <cp:keywords>Borrowing capacity, Serviceability, Pre-approval position, Finance &amp; Lending,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