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Height w:val="7824" w:hRule="atLeast"/>
        </w:trPr>
        <w:tc>
          <w:tcPr>
            <w:tcW w:type="dxa" w:w="10091"/>
            <w:tcBorders>
              <w:top w:val="single" w:sz="10" w:space="0" w:color="1D6FE0"/>
              <w:left w:val="nil"/>
              <w:bottom w:val="nil"/>
              <w:right w:val="nil"/>
            </w:tcBorders>
            <w:shd w:val="clear" w:color="auto" w:fill="0C2340"/>
            <w:tcMar>
              <w:top w:w="380" w:type="dxa"/>
              <w:left w:w="320" w:type="dxa"/>
              <w:bottom w:w="380" w:type="dxa"/>
              <w:right w:w="320" w:type="dxa"/>
            </w:tcMar>
            <w:vAlign w:val="center"/>
          </w:tcPr>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3515"/>
            </w:tblGrid>
            <w:tr>
              <w:trPr>
                <w:cantSplit/>
              </w:trPr>
              <w:tc>
                <w:tcPr>
                  <w:tcW w:type="dxa" w:w="3515"/>
                  <w:tcBorders>
                    <w:top w:val="dashed" w:sz="8" w:space="0" w:color="1D6FE0"/>
                    <w:left w:val="dashed" w:sz="8" w:space="0" w:color="1D6FE0"/>
                    <w:bottom w:val="dashed" w:sz="8" w:space="0" w:color="1D6FE0"/>
                    <w:right w:val="dashed" w:sz="8" w:space="0" w:color="1D6FE0"/>
                  </w:tcBorders>
                  <w:tcMar>
                    <w:top w:w="190" w:type="dxa"/>
                    <w:left w:w="130" w:type="dxa"/>
                    <w:bottom w:w="190" w:type="dxa"/>
                    <w:right w:w="130" w:type="dxa"/>
                  </w:tcMar>
                </w:tcPr>
                <w:p>
                  <w:pPr>
                    <w:keepNext w:val="0"/>
                    <w:keepLines/>
                    <w:pageBreakBefore w:val="0"/>
                    <w:widowControl w:val="1"/>
                    <w:spacing w:before="0" w:after="0"/>
                    <w:jc w:val="center"/>
                  </w:pPr>
                  <w:r>
                    <w:rPr>
                      <w:rFonts w:ascii="Calibri" w:hAnsi="Calibri" w:cs="Calibri" w:eastAsia="Calibri"/>
                      <w:b/>
                      <w:i w:val="0"/>
                      <w:caps w:val="1"/>
                      <w:color w:val="1D6FE0"/>
                      <w:spacing w:val="32"/>
                      <w:sz w:val="14"/>
                      <w:u w:val="none"/>
                    </w:rPr>
                    <w:t>[  AURIXA SYSTEMS  ]</w:t>
                  </w:r>
                </w:p>
              </w:tc>
            </w:tr>
          </w:tbl>
          <w:p/>
          <w:p>
            <w:pPr>
              <w:keepNext w:val="0"/>
              <w:keepLines/>
              <w:pageBreakBefore w:val="0"/>
              <w:widowControl w:val="1"/>
              <w:spacing w:before="0" w:after="0" w:line="200" w:lineRule="exact"/>
            </w:pPr>
            <w:r>
              <w:rPr>
                <w:sz w:val="2"/>
              </w:rPr>
            </w:r>
          </w:p>
          <w:p>
            <w:pPr>
              <w:keepNext w:val="0"/>
              <w:keepLines/>
              <w:pageBreakBefore w:val="0"/>
              <w:widowControl w:val="1"/>
              <w:spacing w:before="0" w:after="80"/>
            </w:pPr>
            <w:r>
              <w:rPr>
                <w:rFonts w:ascii="Calibri" w:hAnsi="Calibri" w:cs="Calibri" w:eastAsia="Calibri"/>
                <w:b/>
                <w:i w:val="0"/>
                <w:caps w:val="1"/>
                <w:color w:val="1D6FE0"/>
                <w:spacing w:val="56"/>
                <w:sz w:val="16"/>
                <w:u w:val="none"/>
              </w:rPr>
              <w:t>Assessed borrowing position</w:t>
            </w:r>
          </w:p>
          <w:p>
            <w:pPr>
              <w:keepNext w:val="0"/>
              <w:keepLines/>
              <w:pageBreakBefore w:val="0"/>
              <w:widowControl w:val="1"/>
              <w:spacing w:before="0" w:after="180"/>
            </w:pPr>
            <w:r>
              <w:rPr>
                <w:rFonts w:ascii="Calibri" w:hAnsi="Calibri" w:cs="Calibri" w:eastAsia="Calibri"/>
                <w:b/>
                <w:i w:val="0"/>
                <w:caps w:val="1"/>
                <w:color w:val="FFFFFF"/>
                <w:spacing w:val="48"/>
                <w:sz w:val="19"/>
                <w:u w:val="none"/>
              </w:rPr>
              <w:t>Aurixa Systems</w:t>
            </w:r>
          </w:p>
          <w:p>
            <w:pPr>
              <w:keepNext/>
              <w:keepLines/>
              <w:pageBreakBefore w:val="0"/>
              <w:widowControl w:val="1"/>
              <w:spacing w:before="0" w:after="160" w:line="230" w:lineRule="auto"/>
            </w:pPr>
            <w:r>
              <w:rPr>
                <w:rFonts w:ascii="Calibri" w:hAnsi="Calibri" w:cs="Calibri" w:eastAsia="Calibri"/>
                <w:b/>
                <w:i w:val="0"/>
                <w:color w:val="FFFFFF"/>
                <w:spacing w:val="-4"/>
                <w:sz w:val="60"/>
                <w:u w:val="none"/>
              </w:rPr>
              <w:t>Borrowing Capacity Report</w:t>
            </w:r>
          </w:p>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1701"/>
            </w:tblGrid>
            <w:tr>
              <w:trPr>
                <w:cantSplit/>
              </w:trPr>
              <w:tc>
                <w:tcPr>
                  <w:tcW w:type="dxa" w:w="1701"/>
                  <w:shd w:val="clear" w:color="auto" w:fill="1D6FE0"/>
                  <w:tcMar>
                    <w:top w:w="0" w:type="dxa"/>
                    <w:left w:w="0" w:type="dxa"/>
                    <w:bottom w:w="0" w:type="dxa"/>
                    <w:right w:w="0" w:type="dxa"/>
                  </w:tcMar>
                </w:tcPr>
                <w:p>
                  <w:pPr>
                    <w:keepNext w:val="0"/>
                    <w:keepLines/>
                    <w:pageBreakBefore w:val="0"/>
                    <w:widowControl w:val="1"/>
                    <w:spacing w:before="0" w:after="0" w:line="48" w:lineRule="exact"/>
                  </w:pPr>
                  <w:r>
                    <w:rPr>
                      <w:sz w:val="2"/>
                    </w:rPr>
                  </w:r>
                </w:p>
              </w:tc>
            </w:tr>
          </w:tbl>
          <w:p/>
          <w:p>
            <w:pPr>
              <w:keepNext w:val="0"/>
              <w:keepLines/>
              <w:pageBreakBefore w:val="0"/>
              <w:widowControl w:val="1"/>
              <w:spacing w:before="0" w:after="0" w:line="160" w:lineRule="exact"/>
            </w:pPr>
            <w:r>
              <w:rPr>
                <w:sz w:val="2"/>
              </w:rPr>
            </w:r>
          </w:p>
          <w:p>
            <w:pPr>
              <w:keepNext w:val="0"/>
              <w:keepLines/>
              <w:pageBreakBefore w:val="0"/>
              <w:widowControl w:val="1"/>
              <w:spacing w:before="0" w:after="0" w:line="322" w:lineRule="auto"/>
            </w:pPr>
            <w:r>
              <w:rPr>
                <w:rFonts w:ascii="Calibri" w:hAnsi="Calibri" w:cs="Calibri" w:eastAsia="Calibri"/>
                <w:b w:val="0"/>
                <w:i w:val="0"/>
                <w:color w:val="AFC0D6"/>
                <w:sz w:val="22"/>
                <w:u w:val="none"/>
              </w:rPr>
              <w:t>What you can borrow, from whom, on what assumptions, and what would change it.</w:t>
            </w:r>
          </w:p>
          <w:p>
            <w:pPr>
              <w:keepNext w:val="0"/>
              <w:keepLines/>
              <w:pageBreakBefore w:val="0"/>
              <w:widowControl w:val="1"/>
              <w:spacing w:before="0" w:after="0" w:line="18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72"/>
              <w:gridCol w:w="2872"/>
              <w:gridCol w:w="2872"/>
            </w:tblGrid>
            <w:tr>
              <w:trPr>
                <w:cantSplit/>
              </w:trPr>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ASSESSED</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MULTI-LENDER</w:t>
                  </w:r>
                </w:p>
              </w:tc>
              <w:tc>
                <w:tcPr>
                  <w:tcW w:type="dxa" w:w="2872"/>
                  <w:tcBorders>
                    <w:top w:val="single" w:sz="4" w:space="0" w:color="1D6FE0"/>
                    <w:left w:val="single" w:sz="4" w:space="0" w:color="1D6FE0"/>
                    <w:bottom w:val="single" w:sz="4" w:space="0" w:color="1D6FE0"/>
                    <w:right w:val="single" w:sz="4" w:space="0" w:color="1D6FE0"/>
                  </w:tcBorders>
                  <w:shd w:val="clear" w:color="auto" w:fill="16375C"/>
                  <w:tcMar>
                    <w:top w:w="90" w:type="dxa"/>
                    <w:left w:w="70" w:type="dxa"/>
                    <w:bottom w:w="90" w:type="dxa"/>
                    <w:right w:w="70" w:type="dxa"/>
                  </w:tcMar>
                </w:tcPr>
                <w:p>
                  <w:pPr>
                    <w:keepNext w:val="0"/>
                    <w:keepLines/>
                    <w:pageBreakBefore w:val="0"/>
                    <w:widowControl w:val="1"/>
                    <w:spacing w:before="0" w:after="0"/>
                    <w:jc w:val="center"/>
                  </w:pPr>
                  <w:r>
                    <w:rPr>
                      <w:rFonts w:ascii="Calibri" w:hAnsi="Calibri" w:cs="Calibri" w:eastAsia="Calibri"/>
                      <w:b/>
                      <w:i w:val="0"/>
                      <w:caps w:val="1"/>
                      <w:color w:val="1D6FE0"/>
                      <w:spacing w:val="28"/>
                      <w:sz w:val="14"/>
                      <w:u w:val="none"/>
                    </w:rPr>
                    <w:t>STRESS-TESTED</w:t>
                  </w:r>
                </w:p>
              </w:tc>
            </w:tr>
          </w:tbl>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018"/>
        <w:gridCol w:w="3027"/>
        <w:gridCol w:w="2018"/>
        <w:gridCol w:w="3027"/>
      </w:tblGrid>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for</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J. &amp; S. Nguyen</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Client reference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CL-2026-0418</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Prepared by</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 Nguyen</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Date of issue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 July 2026</w:t>
            </w:r>
          </w:p>
        </w:tc>
      </w:tr>
      <w:tr>
        <w:trPr>
          <w:cantSplit/>
          <w:trHeight w:val="431" w:hRule="atLeast"/>
        </w:trPr>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Document reference</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APR-0418-01</w:t>
            </w:r>
          </w:p>
        </w:tc>
        <w:tc>
          <w:tcPr>
            <w:tcW w:type="dxa" w:w="2018"/>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Version</w:t>
            </w:r>
          </w:p>
        </w:tc>
        <w:tc>
          <w:tcPr>
            <w:tcW w:type="dxa" w:w="3027"/>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1.0</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01  </w:t>
      </w:r>
      <w:r>
        <w:rPr>
          <w:rFonts w:ascii="Calibri" w:hAnsi="Calibri" w:cs="Calibri" w:eastAsia="Calibri"/>
          <w:b/>
          <w:i w:val="0"/>
          <w:caps w:val="1"/>
          <w:color w:val="0C2340"/>
          <w:spacing w:val="14"/>
          <w:sz w:val="25"/>
          <w:u w:val="none"/>
        </w:rPr>
        <w:t>Assessed capacity</w:t>
      </w:r>
    </w:p>
    <w:p>
      <w:pPr>
        <w:keepNext/>
        <w:keepLines/>
        <w:pageBreakBefore w:val="0"/>
        <w:widowControl w:val="1"/>
        <w:spacing w:before="100" w:after="0"/>
      </w:pPr>
      <w:r>
        <w:rPr>
          <w:rFonts w:ascii="Calibri" w:hAnsi="Calibri" w:cs="Calibri" w:eastAsia="Calibri"/>
          <w:b w:val="0"/>
          <w:i w:val="0"/>
          <w:color w:val="4C5B73"/>
          <w:sz w:val="15"/>
          <w:u w:val="none"/>
        </w:rPr>
        <w:t>Headline position</w:t>
      </w:r>
    </w:p>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523"/>
        <w:gridCol w:w="2523"/>
        <w:gridCol w:w="2523"/>
        <w:gridCol w:w="2523"/>
      </w:tblGrid>
      <w:tr>
        <w:trPr>
          <w:cantSplit/>
        </w:trPr>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MAXIMUM CAPACITY</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INDICATIVE PRICE</w:t>
            </w:r>
          </w:p>
        </w:tc>
        <w:tc>
          <w:tcPr>
            <w:tcW w:type="dxa" w:w="2523"/>
            <w:tcBorders>
              <w:right w:val="single" w:sz="24" w:space="0" w:color="FFFFFF"/>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DEPOSIT REQUIRED</w:t>
            </w:r>
          </w:p>
        </w:tc>
        <w:tc>
          <w:tcPr>
            <w:tcW w:type="dxa" w:w="2523"/>
            <w:tcBorders>
              <w:right w:val="nil"/>
            </w:tcBorders>
            <w:shd w:val="clear" w:color="auto" w:fill="0C2340"/>
            <w:tcMar>
              <w:top w:w="80" w:type="dxa"/>
              <w:left w:w="120" w:type="dxa"/>
              <w:bottom w:w="60" w:type="dxa"/>
              <w:right w:w="120" w:type="dxa"/>
            </w:tcMar>
          </w:tcPr>
          <w:p>
            <w:pPr>
              <w:keepNext/>
              <w:keepLines/>
              <w:pageBreakBefore w:val="0"/>
              <w:widowControl w:val="1"/>
              <w:spacing w:before="0" w:after="0"/>
            </w:pPr>
            <w:r>
              <w:rPr>
                <w:rFonts w:ascii="Calibri" w:hAnsi="Calibri" w:cs="Calibri" w:eastAsia="Calibri"/>
                <w:b/>
                <w:i w:val="0"/>
                <w:caps w:val="1"/>
                <w:color w:val="1D6FE0"/>
                <w:spacing w:val="24"/>
                <w:sz w:val="14"/>
                <w:u w:val="none"/>
              </w:rPr>
              <w:t>ASSESSMENT RATE</w:t>
            </w:r>
          </w:p>
        </w:tc>
      </w:tr>
      <w:tr>
        <w:trPr>
          <w:cantSplit/>
        </w:trPr>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$1,284,000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Highest on panel</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$1,590,000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At 80% LVR</w:t>
            </w:r>
          </w:p>
        </w:tc>
        <w:tc>
          <w:tcPr>
            <w:tcW w:type="dxa" w:w="2523"/>
            <w:tcBorders>
              <w:bottom w:val="single" w:sz="8" w:space="0" w:color="1D6FE0"/>
              <w:right w:val="single" w:sz="24" w:space="0" w:color="FFFFFF"/>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$318,000</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Plus costs</w:t>
            </w:r>
          </w:p>
        </w:tc>
        <w:tc>
          <w:tcPr>
            <w:tcW w:type="dxa" w:w="2523"/>
            <w:tcBorders>
              <w:bottom w:val="single" w:sz="8" w:space="0" w:color="1D6FE0"/>
              <w:right w:val="nil"/>
            </w:tcBorders>
            <w:shd w:val="clear" w:color="auto" w:fill="F2F7FE"/>
            <w:tcMar>
              <w:top w:w="110" w:type="dxa"/>
              <w:left w:w="120" w:type="dxa"/>
              <w:bottom w:w="110" w:type="dxa"/>
              <w:right w:w="120" w:type="dxa"/>
            </w:tcMar>
          </w:tcPr>
          <w:p>
            <w:pPr>
              <w:keepNext w:val="0"/>
              <w:keepLines/>
              <w:pageBreakBefore w:val="0"/>
              <w:widowControl w:val="1"/>
              <w:spacing w:before="0" w:after="0" w:line="252" w:lineRule="auto"/>
            </w:pPr>
            <w:r>
              <w:rPr>
                <w:rFonts w:ascii="Consolas" w:hAnsi="Consolas" w:cs="Consolas" w:eastAsia="Consolas"/>
                <w:b/>
                <w:i w:val="0"/>
                <w:color w:val="0C2340"/>
                <w:sz w:val="32"/>
                <w:u w:val="none"/>
              </w:rPr>
              <w:t>9.15%</w:t>
            </w:r>
          </w:p>
          <w:p>
            <w:pPr>
              <w:keepNext w:val="0"/>
              <w:keepLines/>
              <w:pageBreakBefore w:val="0"/>
              <w:widowControl w:val="1"/>
              <w:spacing w:before="40" w:after="0" w:line="288" w:lineRule="auto"/>
            </w:pPr>
            <w:r>
              <w:rPr>
                <w:rFonts w:ascii="Calibri" w:hAnsi="Calibri" w:cs="Calibri" w:eastAsia="Calibri"/>
                <w:b w:val="0"/>
                <w:i w:val="0"/>
                <w:color w:val="4C5B73"/>
                <w:sz w:val="14"/>
                <w:u w:val="none"/>
              </w:rPr>
              <w:t>Incl. 3% buffer</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58" w:type="dxa"/>
              <w:left w:w="184" w:type="dxa"/>
              <w:bottom w:w="158" w:type="dxa"/>
              <w:right w:w="184" w:type="dxa"/>
            </w:tcMar>
          </w:tcPr>
          <w:p>
            <w:pPr>
              <w:keepNext/>
              <w:keepLines/>
              <w:pageBreakBefore w:val="0"/>
              <w:widowControl w:val="1"/>
              <w:spacing w:before="0" w:after="80"/>
            </w:pPr>
            <w:r>
              <w:rPr>
                <w:rFonts w:ascii="Calibri" w:hAnsi="Calibri" w:cs="Calibri" w:eastAsia="Calibri"/>
                <w:b/>
                <w:i w:val="0"/>
                <w:caps w:val="1"/>
                <w:color w:val="1D6FE0"/>
                <w:spacing w:val="24"/>
                <w:sz w:val="15"/>
                <w:u w:val="none"/>
              </w:rPr>
              <w:t>What this means</w:t>
            </w:r>
          </w:p>
          <w:p>
            <w:pPr>
              <w:keepNext/>
              <w:keepLines/>
              <w:pageBreakBefore w:val="0"/>
              <w:widowControl w:val="1"/>
              <w:spacing w:before="0" w:after="120" w:line="293" w:lineRule="auto"/>
            </w:pPr>
            <w:r>
              <w:rPr>
                <w:rFonts w:ascii="Calibri" w:hAnsi="Calibri" w:cs="Calibri" w:eastAsia="Calibri"/>
                <w:b/>
                <w:i w:val="0"/>
                <w:color w:val="0C2340"/>
                <w:sz w:val="23"/>
                <w:u w:val="none"/>
              </w:rPr>
              <w:t>Your capacity varies by $214,000 across the panel — lender selection matters more than rate at your income profile.</w:t>
            </w:r>
          </w:p>
          <w:p>
            <w:pPr>
              <w:keepNext w:val="0"/>
              <w:keepLines/>
              <w:pageBreakBefore w:val="0"/>
              <w:widowControl w:val="1"/>
              <w:spacing w:before="0" w:after="0" w:line="307" w:lineRule="auto"/>
            </w:pPr>
            <w:r>
              <w:rPr>
                <w:rFonts w:ascii="Calibri" w:hAnsi="Calibri" w:cs="Calibri" w:eastAsia="Calibri"/>
                <w:b w:val="0"/>
                <w:i w:val="0"/>
                <w:color w:val="10192A"/>
                <w:sz w:val="19"/>
                <w:u w:val="none"/>
              </w:rPr>
              <w:t>Assessed capacity ranges from $1,070,000 to $1,284,000 depending on how each lender treats your rental income and your existing credit card limits. The spread is driven almost entirely by rental shading policy: lenders applying 80% shading assess $34,000 less annual income than those applying 90%.</w:t>
            </w:r>
          </w:p>
          <w:p>
            <w:pPr>
              <w:keepNext w:val="0"/>
              <w:keepLines/>
              <w:pageBreakBefore w:val="0"/>
              <w:widowControl w:val="1"/>
              <w:spacing w:before="100" w:after="0" w:line="307" w:lineRule="auto"/>
            </w:pPr>
            <w:r>
              <w:rPr>
                <w:rFonts w:ascii="Calibri" w:hAnsi="Calibri" w:cs="Calibri" w:eastAsia="Calibri"/>
                <w:b w:val="0"/>
                <w:i w:val="0"/>
                <w:color w:val="10192A"/>
                <w:sz w:val="19"/>
                <w:u w:val="none"/>
              </w:rPr>
              <w:t>Reducing your credit card limits from $28,000 to $10,000 would add approximately $96,000 to capacity at every lender on the panel, because limits are assessed at 3.8% of the limit regardless of the balance drawn.</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02  </w:t>
      </w:r>
      <w:r>
        <w:rPr>
          <w:rFonts w:ascii="Calibri" w:hAnsi="Calibri" w:cs="Calibri" w:eastAsia="Calibri"/>
          <w:b/>
          <w:i w:val="0"/>
          <w:caps w:val="1"/>
          <w:color w:val="0C2340"/>
          <w:spacing w:val="14"/>
          <w:sz w:val="25"/>
          <w:u w:val="none"/>
        </w:rPr>
        <w:t>Inputs</w:t>
      </w:r>
    </w:p>
    <w:p>
      <w:pPr>
        <w:keepNext/>
        <w:keepLines/>
        <w:pageBreakBefore w:val="0"/>
        <w:widowControl w:val="1"/>
        <w:spacing w:before="100" w:after="0"/>
      </w:pPr>
      <w:r>
        <w:rPr>
          <w:rFonts w:ascii="Calibri" w:hAnsi="Calibri" w:cs="Calibri" w:eastAsia="Calibri"/>
          <w:b w:val="0"/>
          <w:i w:val="0"/>
          <w:color w:val="4C5B73"/>
          <w:sz w:val="15"/>
          <w:u w:val="none"/>
        </w:rPr>
        <w:t>What the assessment is built on</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Income</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Income"/>
        <w:tblDescription w:val="Columns: Applicant, Income type, Gross annual, Shading, Assessed"/>
      </w:tblPr>
      <w:tblGrid>
        <w:gridCol w:w="1995"/>
        <w:gridCol w:w="3051"/>
        <w:gridCol w:w="1877"/>
        <w:gridCol w:w="1291"/>
        <w:gridCol w:w="1877"/>
      </w:tblGrid>
      <w:tr>
        <w:trPr>
          <w:cantSplit/>
          <w:trHeight w:val="420" w:hRule="atLeast"/>
          <w:tblHeader/>
        </w:trPr>
        <w:tc>
          <w:tcPr>
            <w:tcW w:type="dxa" w:w="1995"/>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Applicant</w:t>
            </w:r>
          </w:p>
        </w:tc>
        <w:tc>
          <w:tcPr>
            <w:tcW w:type="dxa" w:w="3051"/>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Income type</w:t>
            </w:r>
          </w:p>
        </w:tc>
        <w:tc>
          <w:tcPr>
            <w:tcW w:type="dxa" w:w="1877"/>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Gross annual</w:t>
            </w:r>
          </w:p>
        </w:tc>
        <w:tc>
          <w:tcPr>
            <w:tcW w:type="dxa" w:w="1291"/>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Shading</w:t>
            </w:r>
          </w:p>
        </w:tc>
        <w:tc>
          <w:tcPr>
            <w:tcW w:type="dxa" w:w="1877"/>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Assessed</w:t>
            </w:r>
          </w:p>
        </w:tc>
      </w:tr>
      <w:tr>
        <w:trPr>
          <w:cantSplit/>
          <w:trHeight w:val="397" w:hRule="atLeast"/>
        </w:trPr>
        <w:tc>
          <w:tcPr>
            <w:tcW w:type="dxa" w:w="199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Applicant 1</w:t>
            </w:r>
          </w:p>
        </w:tc>
        <w:tc>
          <w:tcPr>
            <w:tcW w:type="dxa" w:w="305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PAYG base salary</w:t>
            </w:r>
          </w:p>
        </w:tc>
        <w:tc>
          <w:tcPr>
            <w:tcW w:type="dxa" w:w="1877"/>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$142,000</w:t>
            </w:r>
          </w:p>
        </w:tc>
        <w:tc>
          <w:tcPr>
            <w:tcW w:type="dxa" w:w="129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100%</w:t>
            </w:r>
          </w:p>
        </w:tc>
        <w:tc>
          <w:tcPr>
            <w:tcW w:type="dxa" w:w="1877"/>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$142,000</w:t>
            </w:r>
          </w:p>
        </w:tc>
      </w:tr>
      <w:tr>
        <w:trPr>
          <w:cantSplit/>
          <w:trHeight w:val="397" w:hRule="atLeast"/>
        </w:trPr>
        <w:tc>
          <w:tcPr>
            <w:tcW w:type="dxa" w:w="1995"/>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Applicant 1</w:t>
            </w:r>
          </w:p>
        </w:tc>
        <w:tc>
          <w:tcPr>
            <w:tcW w:type="dxa" w:w="305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Bonus (2-year average)</w:t>
            </w:r>
          </w:p>
        </w:tc>
        <w:tc>
          <w:tcPr>
            <w:tcW w:type="dxa" w:w="1877"/>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$18,000</w:t>
            </w:r>
          </w:p>
        </w:tc>
        <w:tc>
          <w:tcPr>
            <w:tcW w:type="dxa" w:w="129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80%</w:t>
            </w:r>
          </w:p>
        </w:tc>
        <w:tc>
          <w:tcPr>
            <w:tcW w:type="dxa" w:w="1877"/>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$14,400</w:t>
            </w:r>
          </w:p>
        </w:tc>
      </w:tr>
      <w:tr>
        <w:trPr>
          <w:cantSplit/>
          <w:trHeight w:val="397" w:hRule="atLeast"/>
        </w:trPr>
        <w:tc>
          <w:tcPr>
            <w:tcW w:type="dxa" w:w="199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Applicant 2</w:t>
            </w:r>
          </w:p>
        </w:tc>
        <w:tc>
          <w:tcPr>
            <w:tcW w:type="dxa" w:w="305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PAYG base salary</w:t>
            </w:r>
          </w:p>
        </w:tc>
        <w:tc>
          <w:tcPr>
            <w:tcW w:type="dxa" w:w="1877"/>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$98,000</w:t>
            </w:r>
          </w:p>
        </w:tc>
        <w:tc>
          <w:tcPr>
            <w:tcW w:type="dxa" w:w="129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100%</w:t>
            </w:r>
          </w:p>
        </w:tc>
        <w:tc>
          <w:tcPr>
            <w:tcW w:type="dxa" w:w="1877"/>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$98,000</w:t>
            </w:r>
          </w:p>
        </w:tc>
      </w:tr>
      <w:tr>
        <w:trPr>
          <w:cantSplit/>
          <w:trHeight w:val="397" w:hRule="atLeast"/>
        </w:trPr>
        <w:tc>
          <w:tcPr>
            <w:tcW w:type="dxa" w:w="1995"/>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Joint</w:t>
            </w:r>
          </w:p>
        </w:tc>
        <w:tc>
          <w:tcPr>
            <w:tcW w:type="dxa" w:w="305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Rental — 4 Example St</w:t>
            </w:r>
          </w:p>
        </w:tc>
        <w:tc>
          <w:tcPr>
            <w:tcW w:type="dxa" w:w="1877"/>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$31,200</w:t>
            </w:r>
          </w:p>
        </w:tc>
        <w:tc>
          <w:tcPr>
            <w:tcW w:type="dxa" w:w="1291"/>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80%</w:t>
            </w:r>
          </w:p>
        </w:tc>
        <w:tc>
          <w:tcPr>
            <w:tcW w:type="dxa" w:w="1877"/>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$24,960</w:t>
            </w:r>
          </w:p>
        </w:tc>
      </w:tr>
      <w:tr>
        <w:trPr>
          <w:cantSplit/>
          <w:trHeight w:val="397" w:hRule="atLeast"/>
        </w:trPr>
        <w:tc>
          <w:tcPr>
            <w:tcW w:type="dxa" w:w="1995"/>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Joint</w:t>
            </w:r>
          </w:p>
        </w:tc>
        <w:tc>
          <w:tcPr>
            <w:tcW w:type="dxa" w:w="305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Rental — 12 Sample Ave</w:t>
            </w:r>
          </w:p>
        </w:tc>
        <w:tc>
          <w:tcPr>
            <w:tcW w:type="dxa" w:w="1877"/>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$28,600</w:t>
            </w:r>
          </w:p>
        </w:tc>
        <w:tc>
          <w:tcPr>
            <w:tcW w:type="dxa" w:w="1291"/>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80%</w:t>
            </w:r>
          </w:p>
        </w:tc>
        <w:tc>
          <w:tcPr>
            <w:tcW w:type="dxa" w:w="1877"/>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$22,880</w:t>
            </w:r>
          </w:p>
        </w:tc>
      </w:tr>
      <w:tr>
        <w:trPr>
          <w:cantSplit/>
          <w:trHeight w:val="397" w:hRule="atLeast"/>
        </w:trPr>
        <w:tc>
          <w:tcPr>
            <w:tcW w:type="dxa" w:w="1995"/>
            <w:tcBorders>
              <w:top w:val="nil"/>
              <w:left w:val="nil"/>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Total assessed income</w:t>
            </w:r>
          </w:p>
        </w:tc>
        <w:tc>
          <w:tcPr>
            <w:tcW w:type="dxa" w:w="3051"/>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p>
        </w:tc>
        <w:tc>
          <w:tcPr>
            <w:tcW w:type="dxa" w:w="1877"/>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$317,800</w:t>
            </w:r>
          </w:p>
        </w:tc>
        <w:tc>
          <w:tcPr>
            <w:tcW w:type="dxa" w:w="1291"/>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p>
        </w:tc>
        <w:tc>
          <w:tcPr>
            <w:tcW w:type="dxa" w:w="1877"/>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$302,240</w:t>
            </w:r>
          </w:p>
        </w:tc>
      </w:tr>
    </w:tbl>
    <w:p>
      <w:pPr>
        <w:keepNext w:val="0"/>
        <w:keepLines/>
        <w:pageBreakBefore w:val="0"/>
        <w:widowControl w:val="1"/>
        <w:spacing w:before="0" w:after="0" w:line="112"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Commitments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Commitments"/>
        <w:tblDescription w:val="Columns: Commitment, Lender, Limit / balance, Actual, Assessed"/>
      </w:tblPr>
      <w:tblGrid>
        <w:gridCol w:w="3096"/>
        <w:gridCol w:w="1720"/>
        <w:gridCol w:w="1949"/>
        <w:gridCol w:w="1605"/>
        <w:gridCol w:w="1720"/>
      </w:tblGrid>
      <w:tr>
        <w:trPr>
          <w:cantSplit/>
          <w:trHeight w:val="420" w:hRule="atLeast"/>
          <w:tblHeader/>
        </w:trPr>
        <w:tc>
          <w:tcPr>
            <w:tcW w:type="dxa" w:w="3096"/>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Commitment</w:t>
            </w:r>
          </w:p>
        </w:tc>
        <w:tc>
          <w:tcPr>
            <w:tcW w:type="dxa" w:w="1720"/>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Lender</w:t>
            </w:r>
          </w:p>
        </w:tc>
        <w:tc>
          <w:tcPr>
            <w:tcW w:type="dxa" w:w="1949"/>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Limit / balance</w:t>
            </w:r>
          </w:p>
        </w:tc>
        <w:tc>
          <w:tcPr>
            <w:tcW w:type="dxa" w:w="1605"/>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Actual</w:t>
            </w:r>
          </w:p>
        </w:tc>
        <w:tc>
          <w:tcPr>
            <w:tcW w:type="dxa" w:w="1720"/>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Assessed</w:t>
            </w:r>
          </w:p>
        </w:tc>
      </w:tr>
      <w:tr>
        <w:trPr>
          <w:cantSplit/>
          <w:trHeight w:val="397" w:hRule="atLeast"/>
        </w:trPr>
        <w:tc>
          <w:tcPr>
            <w:tcW w:type="dxa" w:w="3096"/>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Home loan — 4 Example St</w:t>
            </w:r>
          </w:p>
        </w:tc>
        <w:tc>
          <w:tcPr>
            <w:tcW w:type="dxa" w:w="17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w:t>
            </w:r>
          </w:p>
        </w:tc>
        <w:tc>
          <w:tcPr>
            <w:tcW w:type="dxa" w:w="1949"/>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$412,000</w:t>
            </w:r>
          </w:p>
        </w:tc>
        <w:tc>
          <w:tcPr>
            <w:tcW w:type="dxa" w:w="160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$2,310/mo</w:t>
            </w:r>
          </w:p>
        </w:tc>
        <w:tc>
          <w:tcPr>
            <w:tcW w:type="dxa" w:w="17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$3,140/mo</w:t>
            </w:r>
          </w:p>
        </w:tc>
      </w:tr>
      <w:tr>
        <w:trPr>
          <w:cantSplit/>
          <w:trHeight w:val="397" w:hRule="atLeast"/>
        </w:trPr>
        <w:tc>
          <w:tcPr>
            <w:tcW w:type="dxa" w:w="3096"/>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Home loan — 12 Sample Ave</w:t>
            </w:r>
          </w:p>
        </w:tc>
        <w:tc>
          <w:tcPr>
            <w:tcW w:type="dxa" w:w="17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B</w:t>
            </w:r>
          </w:p>
        </w:tc>
        <w:tc>
          <w:tcPr>
            <w:tcW w:type="dxa" w:w="1949"/>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$389,000</w:t>
            </w:r>
          </w:p>
        </w:tc>
        <w:tc>
          <w:tcPr>
            <w:tcW w:type="dxa" w:w="1605"/>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$2,180/mo</w:t>
            </w:r>
          </w:p>
        </w:tc>
        <w:tc>
          <w:tcPr>
            <w:tcW w:type="dxa" w:w="17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$2,965/mo</w:t>
            </w:r>
          </w:p>
        </w:tc>
      </w:tr>
      <w:tr>
        <w:trPr>
          <w:cantSplit/>
          <w:trHeight w:val="397" w:hRule="atLeast"/>
        </w:trPr>
        <w:tc>
          <w:tcPr>
            <w:tcW w:type="dxa" w:w="3096"/>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Credit card</w:t>
            </w:r>
          </w:p>
        </w:tc>
        <w:tc>
          <w:tcPr>
            <w:tcW w:type="dxa" w:w="17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A</w:t>
            </w:r>
          </w:p>
        </w:tc>
        <w:tc>
          <w:tcPr>
            <w:tcW w:type="dxa" w:w="1949"/>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$18,000</w:t>
            </w:r>
          </w:p>
        </w:tc>
        <w:tc>
          <w:tcPr>
            <w:tcW w:type="dxa" w:w="160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$0/mo</w:t>
            </w:r>
          </w:p>
        </w:tc>
        <w:tc>
          <w:tcPr>
            <w:tcW w:type="dxa" w:w="17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$684/mo</w:t>
            </w:r>
          </w:p>
        </w:tc>
      </w:tr>
      <w:tr>
        <w:trPr>
          <w:cantSplit/>
          <w:trHeight w:val="397" w:hRule="atLeast"/>
        </w:trPr>
        <w:tc>
          <w:tcPr>
            <w:tcW w:type="dxa" w:w="3096"/>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Credit card</w:t>
            </w:r>
          </w:p>
        </w:tc>
        <w:tc>
          <w:tcPr>
            <w:tcW w:type="dxa" w:w="17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C</w:t>
            </w:r>
          </w:p>
        </w:tc>
        <w:tc>
          <w:tcPr>
            <w:tcW w:type="dxa" w:w="1949"/>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$10,000</w:t>
            </w:r>
          </w:p>
        </w:tc>
        <w:tc>
          <w:tcPr>
            <w:tcW w:type="dxa" w:w="1605"/>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$0/mo</w:t>
            </w:r>
          </w:p>
        </w:tc>
        <w:tc>
          <w:tcPr>
            <w:tcW w:type="dxa" w:w="172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$380/mo</w:t>
            </w:r>
          </w:p>
        </w:tc>
      </w:tr>
      <w:tr>
        <w:trPr>
          <w:cantSplit/>
          <w:trHeight w:val="397" w:hRule="atLeast"/>
        </w:trPr>
        <w:tc>
          <w:tcPr>
            <w:tcW w:type="dxa" w:w="3096"/>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Car loan</w:t>
            </w:r>
          </w:p>
        </w:tc>
        <w:tc>
          <w:tcPr>
            <w:tcW w:type="dxa" w:w="17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D</w:t>
            </w:r>
          </w:p>
        </w:tc>
        <w:tc>
          <w:tcPr>
            <w:tcW w:type="dxa" w:w="1949"/>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$24,400</w:t>
            </w:r>
          </w:p>
        </w:tc>
        <w:tc>
          <w:tcPr>
            <w:tcW w:type="dxa" w:w="1605"/>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$610/mo</w:t>
            </w:r>
          </w:p>
        </w:tc>
        <w:tc>
          <w:tcPr>
            <w:tcW w:type="dxa" w:w="172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$610/mo</w:t>
            </w:r>
          </w:p>
        </w:tc>
      </w:tr>
      <w:tr>
        <w:trPr>
          <w:cantSplit/>
          <w:trHeight w:val="397" w:hRule="atLeast"/>
        </w:trPr>
        <w:tc>
          <w:tcPr>
            <w:tcW w:type="dxa" w:w="3096"/>
            <w:tcBorders>
              <w:top w:val="nil"/>
              <w:left w:val="nil"/>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0C2340"/>
                <w:sz w:val="17"/>
                <w:u w:val="none"/>
              </w:rPr>
              <w:t>Total assessed commitments</w:t>
            </w:r>
          </w:p>
        </w:tc>
        <w:tc>
          <w:tcPr>
            <w:tcW w:type="dxa" w:w="1720"/>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pPr>
          </w:p>
        </w:tc>
        <w:tc>
          <w:tcPr>
            <w:tcW w:type="dxa" w:w="1949"/>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p>
        </w:tc>
        <w:tc>
          <w:tcPr>
            <w:tcW w:type="dxa" w:w="1605"/>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p>
        </w:tc>
        <w:tc>
          <w:tcPr>
            <w:tcW w:type="dxa" w:w="1720"/>
            <w:tcBorders>
              <w:top w:val="nil"/>
              <w:left w:val="single" w:sz="4" w:space="0" w:color="DCE3ED"/>
              <w:bottom w:val="single" w:sz="8" w:space="0" w:color="1D6FE0"/>
              <w:right w:val="nil"/>
            </w:tcBorders>
            <w:shd w:val="clear" w:color="auto" w:fill="DCE8FB"/>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i w:val="0"/>
                <w:color w:val="0C2340"/>
                <w:sz w:val="17"/>
                <w:u w:val="none"/>
              </w:rPr>
              <w:t>$7,779/mo</w:t>
            </w:r>
          </w:p>
        </w:tc>
      </w:tr>
    </w:tbl>
    <w:p>
      <w:pPr>
        <w:keepNext w:val="0"/>
        <w:keepLines/>
        <w:pageBreakBefore w:val="0"/>
        <w:widowControl w:val="1"/>
        <w:spacing w:before="80" w:after="0" w:line="298" w:lineRule="auto"/>
      </w:pPr>
      <w:r>
        <w:rPr>
          <w:rFonts w:ascii="Calibri" w:hAnsi="Calibri" w:cs="Calibri" w:eastAsia="Calibri"/>
          <w:b w:val="0"/>
          <w:i/>
          <w:color w:val="8493A8"/>
          <w:sz w:val="14"/>
          <w:u w:val="none"/>
        </w:rPr>
        <w:t>Credit card limits are assessed at 3.8% of the limit each month whether or not the card is drawn.</w:t>
      </w:r>
    </w:p>
    <w:p>
      <w:pPr>
        <w:keepNext w:val="0"/>
        <w:keepLines/>
        <w:pageBreakBefore w:val="0"/>
        <w:widowControl w:val="1"/>
        <w:spacing w:before="0" w:after="0" w:line="112"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1D6FE0"/>
              <w:bottom w:val="single" w:sz="6" w:space="0" w:color="DCE3ED"/>
              <w:right w:val="single" w:sz="6" w:space="0" w:color="DCE3ED"/>
            </w:tcBorders>
            <w:shd w:val="clear" w:color="auto" w:fill="FFFFFF"/>
            <w:tcMar>
              <w:top w:w="158" w:type="dxa"/>
              <w:left w:w="184" w:type="dxa"/>
              <w:bottom w:w="158" w:type="dxa"/>
              <w:right w:w="184" w:type="dxa"/>
            </w:tcMar>
          </w:tcPr>
          <w:p>
            <w:pPr>
              <w:keepNext/>
              <w:keepLines/>
              <w:pageBreakBefore w:val="0"/>
              <w:widowControl w:val="1"/>
              <w:spacing w:before="0" w:after="80"/>
            </w:pPr>
            <w:r>
              <w:rPr>
                <w:rFonts w:ascii="Calibri" w:hAnsi="Calibri" w:cs="Calibri" w:eastAsia="Calibri"/>
                <w:b/>
                <w:i w:val="0"/>
                <w:caps w:val="1"/>
                <w:color w:val="1D6FE0"/>
                <w:spacing w:val="24"/>
                <w:sz w:val="15"/>
                <w:u w:val="none"/>
              </w:rPr>
              <w:t>Assessment assumptions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929"/>
              <w:gridCol w:w="2893"/>
              <w:gridCol w:w="1929"/>
              <w:gridCol w:w="2893"/>
            </w:tblGrid>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Assessment rate</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9.15% (product rate + 3.00% buffer)</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Living expenses basis</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Higher of declared and HEM</w:t>
                  </w:r>
                </w:p>
              </w:tc>
            </w:tr>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Declared expenses</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$5,840/month</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HEM benchmark</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$6,120/month — applied</w:t>
                  </w:r>
                </w:p>
              </w:tc>
            </w:tr>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Rental shading</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80% unless stated</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Bonus shading</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80%, two-year average</w:t>
                  </w:r>
                </w:p>
              </w:tc>
            </w:tr>
            <w:tr>
              <w:trPr>
                <w:cantSplit/>
                <w:trHeight w:val="431" w:hRule="atLeast"/>
              </w:trPr>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Assessment date</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31/07/2026</w:t>
                  </w:r>
                </w:p>
              </w:tc>
              <w:tc>
                <w:tcPr>
                  <w:tcW w:type="dxa" w:w="1929"/>
                  <w:tcBorders>
                    <w:top w:val="single" w:sz="4" w:space="0" w:color="FFFFFF"/>
                    <w:left w:val="nil"/>
                    <w:bottom w:val="single" w:sz="4" w:space="0" w:color="FFFFFF"/>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69" w:lineRule="auto"/>
                  </w:pPr>
                  <w:r>
                    <w:rPr>
                      <w:rFonts w:ascii="Calibri" w:hAnsi="Calibri" w:cs="Calibri" w:eastAsia="Calibri"/>
                      <w:b/>
                      <w:i w:val="0"/>
                      <w:caps w:val="1"/>
                      <w:color w:val="10192A"/>
                      <w:spacing w:val="16"/>
                      <w:sz w:val="15"/>
                      <w:u w:val="none"/>
                    </w:rPr>
                    <w:t>Dependants</w:t>
                  </w:r>
                </w:p>
              </w:tc>
              <w:tc>
                <w:tcPr>
                  <w:tcW w:type="dxa" w:w="2893"/>
                  <w:tcBorders>
                    <w:top w:val="single" w:sz="4" w:space="0" w:color="FFFFFF"/>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2</w:t>
                  </w:r>
                </w:p>
              </w:tc>
            </w:tr>
          </w:tbl>
          <w:p/>
          <w:p>
            <w:pPr>
              <w:keepNext w:val="0"/>
              <w:keepLines/>
              <w:pageBreakBefore w:val="0"/>
              <w:widowControl w:val="1"/>
              <w:spacing w:before="120" w:after="0"/>
            </w:pPr>
            <w:r>
              <w:rPr>
                <w:rFonts w:ascii="Calibri" w:hAnsi="Calibri" w:cs="Calibri" w:eastAsia="Calibri"/>
                <w:b w:val="0"/>
                <w:i/>
                <w:color w:val="8493A8"/>
                <w:sz w:val="14"/>
                <w:u w:val="none"/>
              </w:rPr>
              <w:t>Assessment rates and policies change frequently. This assessment is indicative only and is not an approval or an offer of credit.</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03  </w:t>
      </w:r>
      <w:r>
        <w:rPr>
          <w:rFonts w:ascii="Calibri" w:hAnsi="Calibri" w:cs="Calibri" w:eastAsia="Calibri"/>
          <w:b/>
          <w:i w:val="0"/>
          <w:caps w:val="1"/>
          <w:color w:val="0C2340"/>
          <w:spacing w:val="14"/>
          <w:sz w:val="25"/>
          <w:u w:val="none"/>
        </w:rPr>
        <w:t>Lender comparison</w:t>
      </w:r>
    </w:p>
    <w:p>
      <w:pPr>
        <w:keepNext/>
        <w:keepLines/>
        <w:pageBreakBefore w:val="0"/>
        <w:widowControl w:val="1"/>
        <w:spacing w:before="100" w:after="0"/>
      </w:pPr>
      <w:r>
        <w:rPr>
          <w:rFonts w:ascii="Calibri" w:hAnsi="Calibri" w:cs="Calibri" w:eastAsia="Calibri"/>
          <w:b w:val="0"/>
          <w:i w:val="0"/>
          <w:color w:val="4C5B73"/>
          <w:sz w:val="15"/>
          <w:u w:val="none"/>
        </w:rPr>
        <w:t>Where capacity differs</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Assessed capacity by lender</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2826"/>
        <w:gridCol w:w="5651"/>
        <w:gridCol w:w="1615"/>
      </w:tblGrid>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A</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34"/>
            </w:tblGrid>
            <w:tr>
              <w:trPr>
                <w:cantSplit/>
              </w:trPr>
              <w:tc>
                <w:tcPr>
                  <w:tcW w:type="dxa" w:w="5651"/>
                  <w:shd w:val="clear" w:color="auto" w:fill="0C2340"/>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34"/>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$1,284,000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B</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5361"/>
              <w:gridCol w:w="290"/>
            </w:tblGrid>
            <w:tr>
              <w:trPr>
                <w:cantSplit/>
              </w:trPr>
              <w:tc>
                <w:tcPr>
                  <w:tcW w:type="dxa" w:w="5361"/>
                  <w:shd w:val="clear" w:color="auto" w:fill="1D6FE0"/>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290"/>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$1,218,000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C</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5083"/>
              <w:gridCol w:w="568"/>
            </w:tblGrid>
            <w:tr>
              <w:trPr>
                <w:cantSplit/>
              </w:trPr>
              <w:tc>
                <w:tcPr>
                  <w:tcW w:type="dxa" w:w="5083"/>
                  <w:shd w:val="clear" w:color="auto" w:fill="12B0CE"/>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568"/>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$1,155,000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D</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4806"/>
              <w:gridCol w:w="845"/>
            </w:tblGrid>
            <w:tr>
              <w:trPr>
                <w:cantSplit/>
              </w:trPr>
              <w:tc>
                <w:tcPr>
                  <w:tcW w:type="dxa" w:w="4806"/>
                  <w:shd w:val="clear" w:color="auto" w:fill="5B96EB"/>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845"/>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$1,092,000</w:t>
            </w:r>
          </w:p>
        </w:tc>
      </w:tr>
      <w:tr>
        <w:trPr>
          <w:cantSplit/>
          <w:trHeight w:val="420" w:hRule="atLeast"/>
        </w:trPr>
        <w:tc>
          <w:tcPr>
            <w:tcW w:type="dxa" w:w="2826"/>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line="278" w:lineRule="auto"/>
            </w:pPr>
            <w:r>
              <w:rPr>
                <w:rFonts w:ascii="Calibri" w:hAnsi="Calibri" w:cs="Calibri" w:eastAsia="Calibri"/>
                <w:b w:val="0"/>
                <w:i w:val="0"/>
                <w:color w:val="10192A"/>
                <w:sz w:val="17"/>
                <w:u w:val="none"/>
              </w:rPr>
              <w:t>Lender E</w:t>
            </w:r>
          </w:p>
        </w:tc>
        <w:tc>
          <w:tcPr>
            <w:tcW w:type="dxa" w:w="5651"/>
            <w:tcBorders>
              <w:top w:val="nil"/>
              <w:left w:val="nil"/>
              <w:bottom w:val="single" w:sz="4" w:space="0" w:color="DCE3ED"/>
              <w:right w:val="nil"/>
            </w:tcBorders>
            <w:tcMar>
              <w:top w:w="40" w:type="dxa"/>
              <w:left w:w="0" w:type="dxa"/>
              <w:bottom w:w="40" w:type="dxa"/>
              <w:right w:w="0" w:type="dxa"/>
            </w:tcMar>
            <w:vAlign w:val="center"/>
          </w:tcPr>
          <w:tbl>
            <w:tblPr>
              <w:tblW w:type="auto" w:w="0"/>
              <w:jc w:val="left"/>
              <w:tblInd w:w="0" w:type="dxa"/>
              <w:tblBorders>
                <w:top w:val="nil"/>
                <w:left w:val="nil"/>
                <w:bottom w:val="nil"/>
                <w:right w:val="nil"/>
                <w:insideH w:val="nil"/>
                <w:insideV w:val="nil"/>
              </w:tblBorders>
              <w:tblLayout w:type="fixed"/>
              <w:tblLook w:firstColumn="1" w:firstRow="1" w:lastColumn="0" w:lastRow="0" w:noHBand="0" w:noVBand="1" w:val="04A0"/>
            </w:tblPr>
            <w:tblGrid>
              <w:gridCol w:w="4709"/>
              <w:gridCol w:w="942"/>
            </w:tblGrid>
            <w:tr>
              <w:trPr>
                <w:cantSplit/>
              </w:trPr>
              <w:tc>
                <w:tcPr>
                  <w:tcW w:type="dxa" w:w="4709"/>
                  <w:shd w:val="clear" w:color="auto" w:fill="0E8AA3"/>
                  <w:tcMar>
                    <w:top w:w="0" w:type="dxa"/>
                    <w:left w:w="0" w:type="dxa"/>
                    <w:bottom w:w="0" w:type="dxa"/>
                    <w:right w:w="0" w:type="dxa"/>
                  </w:tcMar>
                </w:tcPr>
                <w:p>
                  <w:pPr>
                    <w:keepNext w:val="0"/>
                    <w:keepLines/>
                    <w:pageBreakBefore w:val="0"/>
                    <w:widowControl w:val="1"/>
                    <w:spacing w:before="0" w:after="0" w:line="180" w:lineRule="exact"/>
                  </w:pPr>
                  <w:r>
                    <w:rPr>
                      <w:sz w:val="2"/>
                    </w:rPr>
                  </w:r>
                </w:p>
              </w:tc>
              <w:tc>
                <w:tcPr>
                  <w:tcW w:type="dxa" w:w="942"/>
                  <w:shd w:val="clear" w:color="auto" w:fill="EDF1F7"/>
                  <w:tcMar>
                    <w:top w:w="0" w:type="dxa"/>
                    <w:left w:w="0" w:type="dxa"/>
                    <w:bottom w:w="0" w:type="dxa"/>
                    <w:right w:w="0" w:type="dxa"/>
                  </w:tcMar>
                </w:tcPr>
                <w:p>
                  <w:pPr>
                    <w:keepNext w:val="0"/>
                    <w:keepLines/>
                    <w:pageBreakBefore w:val="0"/>
                    <w:widowControl w:val="1"/>
                    <w:spacing w:before="0" w:after="0" w:line="180" w:lineRule="exact"/>
                  </w:pPr>
                  <w:r>
                    <w:rPr>
                      <w:sz w:val="2"/>
                    </w:rPr>
                  </w:r>
                </w:p>
              </w:tc>
            </w:tr>
          </w:tbl>
          <w:p/>
        </w:tc>
        <w:tc>
          <w:tcPr>
            <w:tcW w:type="dxa" w:w="1615"/>
            <w:tcBorders>
              <w:top w:val="nil"/>
              <w:left w:val="nil"/>
              <w:bottom w:val="single" w:sz="4" w:space="0" w:color="DCE3ED"/>
              <w:right w:val="nil"/>
            </w:tcBorders>
            <w:tcMar>
              <w:top w:w="88" w:type="dxa"/>
              <w:left w:w="123" w:type="dxa"/>
              <w:bottom w:w="88" w:type="dxa"/>
              <w:right w:w="123" w:type="dxa"/>
            </w:tcMar>
            <w:vAlign w:val="center"/>
          </w:tcPr>
          <w:p>
            <w:pPr>
              <w:keepNext w:val="0"/>
              <w:keepLines/>
              <w:pageBreakBefore w:val="0"/>
              <w:widowControl w:val="1"/>
              <w:spacing w:before="0" w:after="0"/>
              <w:jc w:val="right"/>
            </w:pPr>
            <w:r>
              <w:rPr>
                <w:rFonts w:ascii="Consolas" w:hAnsi="Consolas" w:cs="Consolas" w:eastAsia="Consolas"/>
                <w:b/>
                <w:i w:val="0"/>
                <w:color w:val="0C2340"/>
                <w:sz w:val="17"/>
                <w:u w:val="none"/>
              </w:rPr>
              <w:t>$1,070,000</w:t>
            </w:r>
          </w:p>
        </w:tc>
      </w:tr>
    </w:tbl>
    <w:p>
      <w:pPr>
        <w:keepNext w:val="0"/>
        <w:keepLines/>
        <w:pageBreakBefore w:val="0"/>
        <w:widowControl w:val="1"/>
        <w:spacing w:before="80" w:after="0"/>
      </w:pPr>
      <w:r>
        <w:rPr>
          <w:rFonts w:ascii="Calibri" w:hAnsi="Calibri" w:cs="Calibri" w:eastAsia="Calibri"/>
          <w:b w:val="0"/>
          <w:i/>
          <w:color w:val="8493A8"/>
          <w:sz w:val="14"/>
          <w:u w:val="none"/>
        </w:rPr>
        <w:t>Capacity is the maximum loan each lender's calculator returns on the inputs above. It is not an approval.</w:t>
      </w:r>
    </w:p>
    <w:p>
      <w:pPr>
        <w:keepNext w:val="0"/>
        <w:keepLines/>
        <w:pageBreakBefore w:val="0"/>
        <w:widowControl w:val="1"/>
        <w:spacing w:before="0" w:after="0" w:line="112"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Lender detail</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Lender detail"/>
        <w:tblDescription w:val="Columns: Lender, Capacity, Assessment rate, Rental shading, Policy note"/>
      </w:tblPr>
      <w:tblGrid>
        <w:gridCol w:w="1570"/>
        <w:gridCol w:w="1794"/>
        <w:gridCol w:w="1794"/>
        <w:gridCol w:w="1570"/>
        <w:gridCol w:w="3364"/>
      </w:tblGrid>
      <w:tr>
        <w:trPr>
          <w:cantSplit/>
          <w:trHeight w:val="420" w:hRule="atLeast"/>
          <w:tblHeader/>
        </w:trPr>
        <w:tc>
          <w:tcPr>
            <w:tcW w:type="dxa" w:w="1570"/>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Lender</w:t>
            </w:r>
          </w:p>
        </w:tc>
        <w:tc>
          <w:tcPr>
            <w:tcW w:type="dxa" w:w="1794"/>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jc w:val="right"/>
            </w:pPr>
            <w:r>
              <w:rPr>
                <w:rFonts w:ascii="Calibri" w:hAnsi="Calibri" w:cs="Calibri" w:eastAsia="Calibri"/>
                <w:b/>
                <w:i w:val="0"/>
                <w:caps w:val="1"/>
                <w:color w:val="FFFFFF"/>
                <w:spacing w:val="20"/>
                <w:sz w:val="15"/>
                <w:u w:val="none"/>
              </w:rPr>
              <w:t>Capacity</w:t>
            </w:r>
          </w:p>
        </w:tc>
        <w:tc>
          <w:tcPr>
            <w:tcW w:type="dxa" w:w="1794"/>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Assessment rate</w:t>
            </w:r>
          </w:p>
        </w:tc>
        <w:tc>
          <w:tcPr>
            <w:tcW w:type="dxa" w:w="1570"/>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Rental shading</w:t>
            </w:r>
          </w:p>
        </w:tc>
        <w:tc>
          <w:tcPr>
            <w:tcW w:type="dxa" w:w="3364"/>
            <w:tcBorders>
              <w:top w:val="nil"/>
              <w:left w:val="nil"/>
              <w:bottom w:val="single" w:sz="8" w:space="0" w:color="1D6FE0"/>
              <w:right w:val="nil"/>
            </w:tcBorders>
            <w:shd w:val="clear" w:color="auto" w:fill="0C2340"/>
            <w:tcMar>
              <w:top w:w="88" w:type="dxa"/>
              <w:left w:w="123" w:type="dxa"/>
              <w:bottom w:w="88" w:type="dxa"/>
              <w:right w:w="123" w:type="dxa"/>
            </w:tcMar>
            <w:vAlign w:val="bottom"/>
          </w:tcPr>
          <w:p>
            <w:pPr>
              <w:keepNext w:val="0"/>
              <w:keepLines/>
              <w:pageBreakBefore w:val="0"/>
              <w:widowControl w:val="1"/>
              <w:spacing w:before="0" w:after="0" w:line="269" w:lineRule="auto"/>
            </w:pPr>
            <w:r>
              <w:rPr>
                <w:rFonts w:ascii="Calibri" w:hAnsi="Calibri" w:cs="Calibri" w:eastAsia="Calibri"/>
                <w:b/>
                <w:i w:val="0"/>
                <w:caps w:val="1"/>
                <w:color w:val="FFFFFF"/>
                <w:spacing w:val="20"/>
                <w:sz w:val="15"/>
                <w:u w:val="none"/>
              </w:rPr>
              <w:t>Policy note</w:t>
            </w:r>
          </w:p>
        </w:tc>
      </w:tr>
      <w:tr>
        <w:trPr>
          <w:cantSplit/>
          <w:trHeight w:val="397" w:hRule="atLeast"/>
        </w:trPr>
        <w:tc>
          <w:tcPr>
            <w:tcW w:type="dxa" w:w="1570"/>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i w:val="0"/>
                <w:color w:val="10192A"/>
                <w:sz w:val="17"/>
                <w:u w:val="none"/>
              </w:rPr>
              <w:t>Lender A</w:t>
            </w:r>
          </w:p>
        </w:tc>
        <w:tc>
          <w:tcPr>
            <w:tcW w:type="dxa" w:w="179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$1,284,000</w:t>
            </w:r>
          </w:p>
        </w:tc>
        <w:tc>
          <w:tcPr>
            <w:tcW w:type="dxa" w:w="179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8.95%</w:t>
            </w:r>
          </w:p>
        </w:tc>
        <w:tc>
          <w:tcPr>
            <w:tcW w:type="dxa" w:w="157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90%</w:t>
            </w:r>
          </w:p>
        </w:tc>
        <w:tc>
          <w:tcPr>
            <w:tcW w:type="dxa" w:w="336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Accepts bonus at 80% over 2 years</w:t>
            </w:r>
          </w:p>
        </w:tc>
      </w:tr>
      <w:tr>
        <w:trPr>
          <w:cantSplit/>
          <w:trHeight w:val="397" w:hRule="atLeast"/>
        </w:trPr>
        <w:tc>
          <w:tcPr>
            <w:tcW w:type="dxa" w:w="1570"/>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B</w:t>
            </w:r>
          </w:p>
        </w:tc>
        <w:tc>
          <w:tcPr>
            <w:tcW w:type="dxa" w:w="179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$1,218,000</w:t>
            </w:r>
          </w:p>
        </w:tc>
        <w:tc>
          <w:tcPr>
            <w:tcW w:type="dxa" w:w="179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9.10%</w:t>
            </w:r>
          </w:p>
        </w:tc>
        <w:tc>
          <w:tcPr>
            <w:tcW w:type="dxa" w:w="157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85%</w:t>
            </w:r>
          </w:p>
        </w:tc>
        <w:tc>
          <w:tcPr>
            <w:tcW w:type="dxa" w:w="336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Adds 15% to declared expenses</w:t>
            </w:r>
          </w:p>
        </w:tc>
      </w:tr>
      <w:tr>
        <w:trPr>
          <w:cantSplit/>
          <w:trHeight w:val="397" w:hRule="atLeast"/>
        </w:trPr>
        <w:tc>
          <w:tcPr>
            <w:tcW w:type="dxa" w:w="157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C</w:t>
            </w:r>
          </w:p>
        </w:tc>
        <w:tc>
          <w:tcPr>
            <w:tcW w:type="dxa" w:w="179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$1,155,000</w:t>
            </w:r>
          </w:p>
        </w:tc>
        <w:tc>
          <w:tcPr>
            <w:tcW w:type="dxa" w:w="179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9.15%</w:t>
            </w:r>
          </w:p>
        </w:tc>
        <w:tc>
          <w:tcPr>
            <w:tcW w:type="dxa" w:w="157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80%</w:t>
            </w:r>
          </w:p>
        </w:tc>
        <w:tc>
          <w:tcPr>
            <w:tcW w:type="dxa" w:w="336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Assesses cards at 3.8% of limit</w:t>
            </w:r>
          </w:p>
        </w:tc>
      </w:tr>
      <w:tr>
        <w:trPr>
          <w:cantSplit/>
          <w:trHeight w:val="397" w:hRule="atLeast"/>
        </w:trPr>
        <w:tc>
          <w:tcPr>
            <w:tcW w:type="dxa" w:w="1570"/>
            <w:tcBorders>
              <w:top w:val="nil"/>
              <w:left w:val="nil"/>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D</w:t>
            </w:r>
          </w:p>
        </w:tc>
        <w:tc>
          <w:tcPr>
            <w:tcW w:type="dxa" w:w="179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$1,092,000</w:t>
            </w:r>
          </w:p>
        </w:tc>
        <w:tc>
          <w:tcPr>
            <w:tcW w:type="dxa" w:w="179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9.40%</w:t>
            </w:r>
          </w:p>
        </w:tc>
        <w:tc>
          <w:tcPr>
            <w:tcW w:type="dxa" w:w="1570"/>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80%</w:t>
            </w:r>
          </w:p>
        </w:tc>
        <w:tc>
          <w:tcPr>
            <w:tcW w:type="dxa" w:w="3364"/>
            <w:tcBorders>
              <w:top w:val="nil"/>
              <w:left w:val="single" w:sz="4" w:space="0" w:color="DCE3ED"/>
              <w:bottom w:val="single" w:sz="4" w:space="0" w:color="DCE3ED"/>
              <w:right w:val="nil"/>
            </w:tcBorders>
            <w:shd w:val="clear" w:color="auto" w:fill="F7F9FC"/>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Shades bonus to 50%</w:t>
            </w:r>
          </w:p>
        </w:tc>
      </w:tr>
      <w:tr>
        <w:trPr>
          <w:cantSplit/>
          <w:trHeight w:val="397" w:hRule="atLeast"/>
        </w:trPr>
        <w:tc>
          <w:tcPr>
            <w:tcW w:type="dxa" w:w="1570"/>
            <w:tcBorders>
              <w:top w:val="nil"/>
              <w:left w:val="nil"/>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Lender E</w:t>
            </w:r>
          </w:p>
        </w:tc>
        <w:tc>
          <w:tcPr>
            <w:tcW w:type="dxa" w:w="179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jc w:val="right"/>
            </w:pPr>
            <w:r>
              <w:rPr>
                <w:rFonts w:ascii="Consolas" w:hAnsi="Consolas" w:cs="Consolas" w:eastAsia="Consolas"/>
                <w:b w:val="0"/>
                <w:i w:val="0"/>
                <w:color w:val="10192A"/>
                <w:sz w:val="17"/>
                <w:u w:val="none"/>
              </w:rPr>
              <w:t>$1,070,000</w:t>
            </w:r>
          </w:p>
        </w:tc>
        <w:tc>
          <w:tcPr>
            <w:tcW w:type="dxa" w:w="179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9.55%</w:t>
            </w:r>
          </w:p>
        </w:tc>
        <w:tc>
          <w:tcPr>
            <w:tcW w:type="dxa" w:w="1570"/>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75%</w:t>
            </w:r>
          </w:p>
        </w:tc>
        <w:tc>
          <w:tcPr>
            <w:tcW w:type="dxa" w:w="3364"/>
            <w:tcBorders>
              <w:top w:val="nil"/>
              <w:left w:val="single" w:sz="4" w:space="0" w:color="DCE3ED"/>
              <w:bottom w:val="single" w:sz="4" w:space="0" w:color="DCE3ED"/>
              <w:right w:val="nil"/>
            </w:tcBorders>
            <w:shd w:val="clear" w:color="auto" w:fill="FFFFFF"/>
            <w:tcMar>
              <w:top w:w="88" w:type="dxa"/>
              <w:left w:w="123" w:type="dxa"/>
              <w:bottom w:w="88" w:type="dxa"/>
              <w:right w:w="123" w:type="dxa"/>
            </w:tcMar>
            <w:vAlign w:val="top"/>
          </w:tcPr>
          <w:p>
            <w:pPr>
              <w:keepNext w:val="0"/>
              <w:keepLines/>
              <w:pageBreakBefore w:val="0"/>
              <w:widowControl w:val="1"/>
              <w:spacing w:before="0" w:after="0" w:line="293" w:lineRule="auto"/>
            </w:pPr>
            <w:r>
              <w:rPr>
                <w:rFonts w:ascii="Calibri" w:hAnsi="Calibri" w:cs="Calibri" w:eastAsia="Calibri"/>
                <w:b w:val="0"/>
                <w:i w:val="0"/>
                <w:color w:val="10192A"/>
                <w:sz w:val="17"/>
                <w:u w:val="none"/>
              </w:rPr>
              <w:t>Does not accept bonus income</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olor w:val="1D6FE0"/>
          <w:sz w:val="25"/>
          <w:u w:val="none"/>
        </w:rPr>
        <w:t xml:space="preserve">04  </w:t>
      </w:r>
      <w:r>
        <w:rPr>
          <w:rFonts w:ascii="Calibri" w:hAnsi="Calibri" w:cs="Calibri" w:eastAsia="Calibri"/>
          <w:b/>
          <w:i w:val="0"/>
          <w:caps w:val="1"/>
          <w:color w:val="0C2340"/>
          <w:spacing w:val="14"/>
          <w:sz w:val="25"/>
          <w:u w:val="none"/>
        </w:rPr>
        <w:t>Sensitivity</w:t>
      </w:r>
    </w:p>
    <w:p>
      <w:pPr>
        <w:keepNext/>
        <w:keepLines/>
        <w:pageBreakBefore w:val="0"/>
        <w:widowControl w:val="1"/>
        <w:spacing w:before="100" w:after="0"/>
      </w:pPr>
      <w:r>
        <w:rPr>
          <w:rFonts w:ascii="Calibri" w:hAnsi="Calibri" w:cs="Calibri" w:eastAsia="Calibri"/>
          <w:b w:val="0"/>
          <w:i w:val="0"/>
          <w:color w:val="4C5B73"/>
          <w:sz w:val="15"/>
          <w:u w:val="none"/>
        </w:rPr>
        <w:t>What changes the answer</w:t>
      </w:r>
    </w:p>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Capacity under stress</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Caption w:val="Capacity under stress"/>
        <w:tblDescription w:val="Compares: Base case, Rate +1%, Rate +2%, Income −10%"/>
      </w:tblPr>
      <w:tblGrid>
        <w:gridCol w:w="2624"/>
        <w:gridCol w:w="1867"/>
        <w:gridCol w:w="1867"/>
        <w:gridCol w:w="1867"/>
        <w:gridCol w:w="1867"/>
      </w:tblGrid>
      <w:tr>
        <w:trPr>
          <w:cantSplit/>
          <w:trHeight w:val="510" w:hRule="atLeast"/>
          <w:tblHeader/>
        </w:trPr>
        <w:tc>
          <w:tcPr>
            <w:tcW w:type="dxa" w:w="2624"/>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pPr>
          </w:p>
        </w:tc>
        <w:tc>
          <w:tcPr>
            <w:tcW w:type="dxa" w:w="1867"/>
            <w:tcBorders>
              <w:top w:val="nil"/>
              <w:left w:val="nil"/>
              <w:bottom w:val="single" w:sz="8" w:space="0" w:color="1D6FE0"/>
              <w:right w:val="single" w:sz="16" w:space="0" w:color="FFFFFF"/>
            </w:tcBorders>
            <w:shd w:val="clear" w:color="auto" w:fill="1D6FE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Base case</w:t>
            </w:r>
          </w:p>
        </w:tc>
        <w:tc>
          <w:tcPr>
            <w:tcW w:type="dxa" w:w="1867"/>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Rate +1%</w:t>
            </w:r>
          </w:p>
        </w:tc>
        <w:tc>
          <w:tcPr>
            <w:tcW w:type="dxa" w:w="1867"/>
            <w:tcBorders>
              <w:top w:val="nil"/>
              <w:left w:val="nil"/>
              <w:bottom w:val="single" w:sz="8" w:space="0" w:color="1D6FE0"/>
              <w:right w:val="single" w:sz="16" w:space="0" w:color="FFFFFF"/>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Rate +2%</w:t>
            </w:r>
          </w:p>
        </w:tc>
        <w:tc>
          <w:tcPr>
            <w:tcW w:type="dxa" w:w="1867"/>
            <w:tcBorders>
              <w:top w:val="nil"/>
              <w:left w:val="nil"/>
              <w:bottom w:val="single" w:sz="8" w:space="0" w:color="1D6FE0"/>
              <w:right w:val="nil"/>
            </w:tcBorders>
            <w:shd w:val="clear" w:color="auto" w:fill="0C2340"/>
            <w:tcMar>
              <w:top w:w="88" w:type="dxa"/>
              <w:left w:w="123" w:type="dxa"/>
              <w:bottom w:w="88" w:type="dxa"/>
              <w:right w:w="123" w:type="dxa"/>
            </w:tcMar>
            <w:vAlign w:val="center"/>
          </w:tcPr>
          <w:p>
            <w:pPr>
              <w:keepNext w:val="0"/>
              <w:keepLines/>
              <w:pageBreakBefore w:val="0"/>
              <w:widowControl w:val="1"/>
              <w:spacing w:before="0" w:after="0" w:line="274" w:lineRule="auto"/>
              <w:jc w:val="center"/>
            </w:pPr>
            <w:r>
              <w:rPr>
                <w:rFonts w:ascii="Calibri" w:hAnsi="Calibri" w:cs="Calibri" w:eastAsia="Calibri"/>
                <w:b/>
                <w:i w:val="0"/>
                <w:caps w:val="1"/>
                <w:color w:val="FFFFFF"/>
                <w:spacing w:val="20"/>
                <w:sz w:val="16"/>
                <w:u w:val="none"/>
              </w:rPr>
              <w:t>Income −10%</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Assessed capacity</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$1,284,000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$1,168,000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$1,064,000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$1,142,000</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Indicative price</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$1,590,000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$1,455,000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$1,330,000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$1,418,000</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Change</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−$116,000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−$220,000</w:t>
            </w:r>
          </w:p>
        </w:tc>
        <w:tc>
          <w:tcPr>
            <w:tcW w:type="dxa" w:w="1867"/>
            <w:tcBorders>
              <w:top w:val="nil"/>
              <w:left w:val="nil"/>
              <w:bottom w:val="single" w:sz="4" w:space="0" w:color="DCE3ED"/>
              <w:right w:val="nil"/>
            </w:tcBorders>
            <w:shd w:val="clear" w:color="auto" w:fill="FFFFFF"/>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−$142,000</w:t>
            </w:r>
          </w:p>
        </w:tc>
      </w:tr>
      <w:tr>
        <w:trPr>
          <w:cantSplit/>
        </w:trPr>
        <w:tc>
          <w:tcPr>
            <w:tcW w:type="dxa" w:w="2624"/>
            <w:tcBorders>
              <w:top w:val="nil"/>
              <w:left w:val="nil"/>
              <w:bottom w:val="single" w:sz="4" w:space="0" w:color="DCE3ED"/>
              <w:right w:val="nil"/>
            </w:tcBorders>
            <w:shd w:val="clear" w:color="auto" w:fill="EDF1F7"/>
            <w:tcMar>
              <w:top w:w="88" w:type="dxa"/>
              <w:left w:w="123" w:type="dxa"/>
              <w:bottom w:w="88" w:type="dxa"/>
              <w:right w:w="123" w:type="dxa"/>
            </w:tcMar>
            <w:vAlign w:val="center"/>
          </w:tcPr>
          <w:p>
            <w:pPr>
              <w:keepNext w:val="0"/>
              <w:keepLines/>
              <w:pageBreakBefore w:val="0"/>
              <w:widowControl w:val="1"/>
              <w:spacing w:before="0" w:after="0" w:line="274" w:lineRule="auto"/>
            </w:pPr>
            <w:r>
              <w:rPr>
                <w:rFonts w:ascii="Calibri" w:hAnsi="Calibri" w:cs="Calibri" w:eastAsia="Calibri"/>
                <w:b/>
                <w:i w:val="0"/>
                <w:caps w:val="1"/>
                <w:color w:val="10192A"/>
                <w:spacing w:val="16"/>
                <w:sz w:val="15"/>
                <w:u w:val="none"/>
              </w:rPr>
              <w:t>Deposit required</w:t>
            </w:r>
          </w:p>
        </w:tc>
        <w:tc>
          <w:tcPr>
            <w:tcW w:type="dxa" w:w="1867"/>
            <w:tcBorders>
              <w:top w:val="nil"/>
              <w:left w:val="nil"/>
              <w:bottom w:val="single" w:sz="4" w:space="0" w:color="DCE3ED"/>
              <w:right w:val="nil"/>
            </w:tcBorders>
            <w:shd w:val="clear" w:color="auto" w:fill="F2F7FE"/>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$318,000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$291,000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$266,000</w:t>
            </w:r>
          </w:p>
        </w:tc>
        <w:tc>
          <w:tcPr>
            <w:tcW w:type="dxa" w:w="1867"/>
            <w:tcBorders>
              <w:top w:val="nil"/>
              <w:left w:val="nil"/>
              <w:bottom w:val="single" w:sz="4" w:space="0" w:color="DCE3ED"/>
              <w:right w:val="nil"/>
            </w:tcBorders>
            <w:shd w:val="clear" w:color="auto" w:fill="F7F9FC"/>
            <w:tcMar>
              <w:top w:w="88" w:type="dxa"/>
              <w:left w:w="123" w:type="dxa"/>
              <w:bottom w:w="88" w:type="dxa"/>
              <w:right w:w="123" w:type="dxa"/>
            </w:tcMar>
            <w:vAlign w:val="center"/>
          </w:tcPr>
          <w:p>
            <w:pPr>
              <w:keepNext w:val="0"/>
              <w:keepLines/>
              <w:pageBreakBefore w:val="0"/>
              <w:widowControl w:val="1"/>
              <w:spacing w:before="0" w:after="0" w:line="288" w:lineRule="auto"/>
              <w:jc w:val="center"/>
            </w:pPr>
            <w:r>
              <w:rPr>
                <w:rFonts w:ascii="Calibri" w:hAnsi="Calibri" w:cs="Calibri" w:eastAsia="Calibri"/>
                <w:b w:val="0"/>
                <w:i w:val="0"/>
                <w:color w:val="10192A"/>
                <w:sz w:val="17"/>
                <w:u w:val="none"/>
              </w:rPr>
              <w:t>$284,000</w:t>
            </w:r>
          </w:p>
        </w:tc>
      </w:tr>
    </w:tbl>
    <w:p>
      <w:pPr>
        <w:keepNext w:val="0"/>
        <w:keepLines/>
        <w:pageBreakBefore w:val="0"/>
        <w:widowControl w:val="1"/>
        <w:spacing w:before="0" w:after="0" w:line="160" w:lineRule="exact"/>
      </w:pPr>
      <w:r>
        <w:rPr>
          <w:sz w:val="2"/>
        </w:rPr>
      </w:r>
    </w:p>
    <w:p>
      <w:pPr>
        <w:keepNext/>
        <w:keepLines/>
        <w:pageBreakBefore w:val="0"/>
        <w:widowControl w:val="1"/>
        <w:spacing w:before="0" w:after="80"/>
      </w:pPr>
      <w:r>
        <w:rPr>
          <w:rFonts w:ascii="Calibri" w:hAnsi="Calibri" w:cs="Calibri" w:eastAsia="Calibri"/>
          <w:b/>
          <w:i w:val="0"/>
          <w:caps w:val="1"/>
          <w:color w:val="4C5B73"/>
          <w:spacing w:val="24"/>
          <w:sz w:val="15"/>
          <w:u w:val="none"/>
        </w:rPr>
        <w:t>What would improve capacity</w:t>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nil"/>
              <w:left w:val="nil"/>
              <w:bottom w:val="single" w:sz="4" w:space="0" w:color="DCE3ED"/>
              <w:right w:val="nil"/>
            </w:tcBorders>
            <w:tcMar>
              <w:top w:w="88" w:type="dxa"/>
              <w:left w:w="123" w:type="dxa"/>
              <w:bottom w:w="88" w:type="dxa"/>
              <w:right w:w="123"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Reduce credit card limits from $28,000 to $10,000 — adds approximately $96,000.</w:t>
            </w:r>
          </w:p>
        </w:tc>
      </w:tr>
      <w:tr>
        <w:trPr>
          <w:cantSplit/>
        </w:trPr>
        <w:tc>
          <w:tcPr>
            <w:tcW w:type="dxa" w:w="10091"/>
            <w:tcBorders>
              <w:top w:val="nil"/>
              <w:left w:val="nil"/>
              <w:bottom w:val="single" w:sz="4" w:space="0" w:color="DCE3ED"/>
              <w:right w:val="nil"/>
            </w:tcBorders>
            <w:tcMar>
              <w:top w:w="88" w:type="dxa"/>
              <w:left w:w="123" w:type="dxa"/>
              <w:bottom w:w="88" w:type="dxa"/>
              <w:right w:w="123"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Clear the car loan balance of $24,400 — adds approximately $71,000.</w:t>
            </w:r>
          </w:p>
        </w:tc>
      </w:tr>
      <w:tr>
        <w:trPr>
          <w:cantSplit/>
        </w:trPr>
        <w:tc>
          <w:tcPr>
            <w:tcW w:type="dxa" w:w="10091"/>
            <w:tcBorders>
              <w:top w:val="nil"/>
              <w:left w:val="nil"/>
              <w:bottom w:val="single" w:sz="4" w:space="0" w:color="DCE3ED"/>
              <w:right w:val="nil"/>
            </w:tcBorders>
            <w:tcMar>
              <w:top w:w="88" w:type="dxa"/>
              <w:left w:w="123" w:type="dxa"/>
              <w:bottom w:w="88" w:type="dxa"/>
              <w:right w:w="123"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Provide a third year of bonus history — adds approximately $34,000 at Lender A.</w:t>
            </w:r>
          </w:p>
        </w:tc>
      </w:tr>
      <w:tr>
        <w:trPr>
          <w:cantSplit/>
        </w:trPr>
        <w:tc>
          <w:tcPr>
            <w:tcW w:type="dxa" w:w="10091"/>
            <w:tcBorders>
              <w:top w:val="nil"/>
              <w:left w:val="nil"/>
              <w:bottom w:val="single" w:sz="4" w:space="0" w:color="DCE3ED"/>
              <w:right w:val="nil"/>
            </w:tcBorders>
            <w:tcMar>
              <w:top w:w="88" w:type="dxa"/>
              <w:left w:w="123" w:type="dxa"/>
              <w:bottom w:w="88" w:type="dxa"/>
              <w:right w:w="123" w:type="dxa"/>
            </w:tcMar>
          </w:tcPr>
          <w:p>
            <w:pPr>
              <w:keepNext w:val="0"/>
              <w:keepLines/>
              <w:pageBreakBefore w:val="0"/>
              <w:widowControl w:val="1"/>
              <w:spacing w:before="0" w:after="0" w:line="288" w:lineRule="auto"/>
              <w:ind w:left="240" w:hanging="240"/>
            </w:pPr>
            <w:r>
              <w:rPr>
                <w:rFonts w:ascii="Calibri" w:hAnsi="Calibri" w:cs="Calibri" w:eastAsia="Calibri"/>
                <w:b w:val="0"/>
                <w:i w:val="0"/>
                <w:color w:val="1D6FE0"/>
                <w:sz w:val="19"/>
                <w:u w:val="none"/>
              </w:rPr>
              <w:t xml:space="preserve">☐  </w:t>
            </w:r>
            <w:r>
              <w:rPr>
                <w:rFonts w:ascii="Calibri" w:hAnsi="Calibri" w:cs="Calibri" w:eastAsia="Calibri"/>
                <w:b w:val="0"/>
                <w:i w:val="0"/>
                <w:color w:val="10192A"/>
                <w:sz w:val="17"/>
                <w:u w:val="none"/>
              </w:rPr>
              <w:t>Increase the rental appraisal evidence on 12 Sample Avenue — adds approximately $18,000 where shading is 90%.</w:t>
            </w:r>
          </w:p>
        </w:tc>
      </w:tr>
    </w:tbl>
    <w:p>
      <w:pPr>
        <w:keepNext w:val="0"/>
        <w:keepLines/>
        <w:pageBreakBefore w:val="0"/>
        <w:widowControl w:val="1"/>
        <w:spacing w:before="0" w:after="0" w:line="16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10091"/>
      </w:tblGrid>
      <w:tr>
        <w:trPr>
          <w:cantSplit/>
        </w:trPr>
        <w:tc>
          <w:tcPr>
            <w:tcW w:type="dxa" w:w="10091"/>
            <w:tcBorders>
              <w:top w:val="single" w:sz="6" w:space="0" w:color="DCE3ED"/>
              <w:left w:val="single" w:sz="18" w:space="0" w:color="4C5B73"/>
              <w:bottom w:val="single" w:sz="6" w:space="0" w:color="DCE3ED"/>
              <w:right w:val="single" w:sz="6" w:space="0" w:color="DCE3ED"/>
            </w:tcBorders>
            <w:shd w:val="clear" w:color="auto" w:fill="FFFFFF"/>
            <w:tcMar>
              <w:top w:w="158" w:type="dxa"/>
              <w:left w:w="184" w:type="dxa"/>
              <w:bottom w:w="158" w:type="dxa"/>
              <w:right w:w="184" w:type="dxa"/>
            </w:tcMar>
          </w:tcPr>
          <w:p>
            <w:pPr>
              <w:keepNext/>
              <w:keepLines/>
              <w:pageBreakBefore w:val="0"/>
              <w:widowControl w:val="1"/>
              <w:spacing w:before="0" w:after="80"/>
            </w:pPr>
            <w:r>
              <w:rPr>
                <w:rFonts w:ascii="Calibri" w:hAnsi="Calibri" w:cs="Calibri" w:eastAsia="Calibri"/>
                <w:b/>
                <w:i w:val="0"/>
                <w:caps w:val="1"/>
                <w:color w:val="4C5B73"/>
                <w:spacing w:val="24"/>
                <w:sz w:val="15"/>
                <w:u w:val="none"/>
              </w:rPr>
              <w:t>Important</w:t>
            </w:r>
          </w:p>
          <w:p>
            <w:pPr>
              <w:keepNext w:val="0"/>
              <w:keepLines/>
              <w:pageBreakBefore w:val="0"/>
              <w:widowControl w:val="1"/>
              <w:spacing w:before="0" w:after="0" w:line="307" w:lineRule="auto"/>
            </w:pPr>
            <w:r>
              <w:rPr>
                <w:rFonts w:ascii="Calibri" w:hAnsi="Calibri" w:cs="Calibri" w:eastAsia="Calibri"/>
                <w:b w:val="0"/>
                <w:i w:val="0"/>
                <w:color w:val="10192A"/>
                <w:sz w:val="17"/>
                <w:u w:val="none"/>
              </w:rPr>
              <w:t>This report is an indicative assessment of borrowing capacity. It is not credit assistance, an application, a pre-approval or an offer of credit. Lender policies, assessment rates and benchmarks change without notice and each lender will form its own view on a full application.</w:t>
            </w:r>
          </w:p>
        </w:tc>
      </w:tr>
    </w:tbl>
    <w:p>
      <w:pPr>
        <w:keepNext w:val="0"/>
        <w:keepLines/>
        <w:pageBreakBefore w:val="0"/>
        <w:widowControl w:val="1"/>
        <w:spacing w:before="0" w:after="0"/>
      </w:pPr>
      <w:r>
        <w:br w:type="page"/>
      </w:r>
    </w:p>
    <w:p>
      <w:pPr>
        <w:keepNext/>
        <w:keepLines/>
        <w:pageBreakBefore w:val="0"/>
        <w:widowControl w:val="1"/>
        <w:pBdr>
          <w:bottom w:val="single" w:sz="10" w:space="4" w:color="1D6FE0"/>
        </w:pBdr>
        <w:spacing w:before="0" w:after="0"/>
      </w:pPr>
      <w:r>
        <w:rPr>
          <w:rFonts w:ascii="Calibri" w:hAnsi="Calibri" w:cs="Calibri" w:eastAsia="Calibri"/>
          <w:b/>
          <w:i w:val="0"/>
          <w:caps w:val="1"/>
          <w:color w:val="0C2340"/>
          <w:spacing w:val="14"/>
          <w:sz w:val="25"/>
          <w:u w:val="none"/>
        </w:rPr>
        <w:t>Important information</w:t>
      </w:r>
    </w:p>
    <w:p>
      <w:pPr>
        <w:keepNext/>
        <w:keepLines/>
        <w:pageBreakBefore w:val="0"/>
        <w:widowControl w:val="1"/>
        <w:spacing w:before="100" w:after="0"/>
      </w:pPr>
      <w:r>
        <w:rPr>
          <w:rFonts w:ascii="Calibri" w:hAnsi="Calibri" w:cs="Calibri" w:eastAsia="Calibri"/>
          <w:b w:val="0"/>
          <w:i w:val="0"/>
          <w:color w:val="4C5B73"/>
          <w:sz w:val="15"/>
          <w:u w:val="none"/>
        </w:rPr>
        <w:t>Disclaimer, privacy and terms</w:t>
      </w:r>
    </w:p>
    <w:p>
      <w:pPr>
        <w:keepNext w:val="0"/>
        <w:keepLines/>
        <w:pageBreakBefore w:val="0"/>
        <w:widowControl w:val="1"/>
        <w:spacing w:before="0" w:after="0" w:line="16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Disclaimer</w:t>
      </w:r>
    </w:p>
    <w:p>
      <w:pPr>
        <w:keepNext w:val="0"/>
        <w:keepLines/>
        <w:pageBreakBefore w:val="0"/>
        <w:widowControl w:val="1"/>
        <w:spacing w:before="0" w:after="0" w:line="307" w:lineRule="auto"/>
      </w:pPr>
      <w:r>
        <w:rPr>
          <w:rFonts w:ascii="Calibri" w:hAnsi="Calibri" w:cs="Calibri" w:eastAsia="Calibri"/>
          <w:b w:val="0"/>
          <w:i w:val="0"/>
          <w:color w:val="4C5B73"/>
          <w:sz w:val="17"/>
          <w:u w:val="none"/>
        </w:rPr>
        <w:t>This document has been prepared for the named recipient only and is general in nature. It does not take into account any person's objectives, financial situation or needs, and it is not financial product, credit, tax or legal advice. Obtain your own professional advice before acting on it.</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Privacy</w:t>
      </w:r>
    </w:p>
    <w:p>
      <w:pPr>
        <w:keepNext w:val="0"/>
        <w:keepLines/>
        <w:pageBreakBefore w:val="0"/>
        <w:widowControl w:val="1"/>
        <w:spacing w:before="0" w:after="0" w:line="307" w:lineRule="auto"/>
      </w:pPr>
      <w:r>
        <w:rPr>
          <w:rFonts w:ascii="Calibri" w:hAnsi="Calibri" w:cs="Calibri" w:eastAsia="Calibri"/>
          <w:b w:val="0"/>
          <w:i w:val="0"/>
          <w:color w:val="4C5B73"/>
          <w:sz w:val="17"/>
          <w:u w:val="none"/>
        </w:rPr>
        <w:t>Personal information collected in connection with this document is handled in accordance with our privacy policy and applicable privacy law. It is used only for the purposes described in this document and for related compliance and record-keeping obligations.</w:t>
      </w:r>
    </w:p>
    <w:p>
      <w:pPr>
        <w:keepNext w:val="0"/>
        <w:keepLines/>
        <w:pageBreakBefore w:val="0"/>
        <w:widowControl w:val="1"/>
        <w:spacing w:before="0" w:after="0" w:line="100" w:lineRule="exact"/>
      </w:pPr>
      <w:r>
        <w:rPr>
          <w:sz w:val="2"/>
        </w:rPr>
      </w:r>
    </w:p>
    <w:p>
      <w:pPr>
        <w:keepNext/>
        <w:keepLines/>
        <w:pageBreakBefore w:val="0"/>
        <w:widowControl w:val="1"/>
        <w:spacing w:before="160" w:after="80"/>
      </w:pPr>
      <w:r>
        <w:rPr>
          <w:rFonts w:ascii="Calibri" w:hAnsi="Calibri" w:cs="Calibri" w:eastAsia="Calibri"/>
          <w:b/>
          <w:i w:val="0"/>
          <w:color w:val="0C2340"/>
          <w:sz w:val="21"/>
          <w:u w:val="none"/>
        </w:rPr>
        <w:t>Terms of use</w:t>
      </w:r>
    </w:p>
    <w:p>
      <w:pPr>
        <w:keepNext w:val="0"/>
        <w:keepLines/>
        <w:pageBreakBefore w:val="0"/>
        <w:widowControl w:val="1"/>
        <w:spacing w:before="0" w:after="0" w:line="307" w:lineRule="auto"/>
      </w:pPr>
      <w:r>
        <w:rPr>
          <w:rFonts w:ascii="Calibri" w:hAnsi="Calibri" w:cs="Calibri" w:eastAsia="Calibri"/>
          <w:b w:val="0"/>
          <w:i w:val="0"/>
          <w:color w:val="4C5B73"/>
          <w:sz w:val="17"/>
          <w:u w:val="none"/>
        </w:rPr>
        <w:t>This document remains our property and is provided in confidence. It may not be reproduced, forwarded or relied upon by any person other than the named recipient without our written consent.</w:t>
      </w:r>
    </w:p>
    <w:p>
      <w:pPr>
        <w:keepNext w:val="0"/>
        <w:keepLines/>
        <w:pageBreakBefore w:val="0"/>
        <w:widowControl w:val="1"/>
        <w:spacing w:before="0" w:after="0" w:line="100" w:lineRule="exact"/>
      </w:pPr>
      <w:r>
        <w:rPr>
          <w:sz w:val="2"/>
        </w:rPr>
      </w:r>
    </w:p>
    <w:sectPr w:rsidR="00FC693F" w:rsidRPr="0006063C" w:rsidSect="00034616">
      <w:headerReference w:type="first" r:id="rId9"/>
      <w:headerReference w:type="default" r:id="rId10"/>
      <w:footerReference w:type="default" r:id="rId11"/>
      <w:footerReference w:type="first" r:id="rId12"/>
      <w:pgSz w:w="11906" w:h="16838"/>
      <w:pgMar w:top="1361" w:right="907" w:bottom="1134" w:left="90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651"/>
      <w:gridCol w:w="4440"/>
    </w:tblGrid>
    <w:tr>
      <w:trPr>
        <w:cantSplit/>
      </w:trPr>
      <w:tc>
        <w:tcPr>
          <w:tcW w:type="dxa" w:w="5651"/>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pPr>
          <w:r>
            <w:rPr>
              <w:rFonts w:ascii="Calibri" w:hAnsi="Calibri" w:cs="Calibri" w:eastAsia="Calibri"/>
              <w:b/>
              <w:i w:val="0"/>
              <w:caps w:val="1"/>
              <w:color w:val="1D6FE0"/>
              <w:spacing w:val="24"/>
              <w:sz w:val="14"/>
              <w:u w:val="none"/>
            </w:rPr>
            <w:t>COMMERCIAL IN CONFIDENCE</w:t>
          </w:r>
          <w:r>
            <w:rPr>
              <w:rFonts w:ascii="Calibri" w:hAnsi="Calibri" w:cs="Calibri" w:eastAsia="Calibri"/>
              <w:b w:val="0"/>
              <w:i w:val="0"/>
              <w:color w:val="8493A8"/>
              <w:sz w:val="14"/>
              <w:u w:val="none"/>
            </w:rPr>
            <w:t xml:space="preserve">    APR-0418-01</w:t>
          </w:r>
        </w:p>
      </w:tc>
      <w:tc>
        <w:tcPr>
          <w:tcW w:type="dxa" w:w="4440"/>
          <w:tcBorders>
            <w:top w:val="single" w:sz="4" w:space="0" w:color="DCE3ED"/>
            <w:left w:val="nil"/>
            <w:bottom w:val="nil"/>
            <w:right w:val="nil"/>
          </w:tcBorders>
          <w:tcMar>
            <w:top w:w="70" w:type="dxa"/>
            <w:left w:w="0" w:type="dxa"/>
            <w:bottom w:w="40" w:type="dxa"/>
            <w:right w:w="0" w:type="dxa"/>
          </w:tcMar>
        </w:tcPr>
        <w:p>
          <w:pPr>
            <w:keepNext w:val="0"/>
            <w:keepLines/>
            <w:pageBreakBefore w:val="0"/>
            <w:widowControl w:val="1"/>
            <w:spacing w:before="0" w:after="0"/>
            <w:jc w:val="right"/>
          </w:pPr>
          <w:r>
            <w:rPr>
              <w:rFonts w:ascii="Calibri" w:hAnsi="Calibri" w:cs="Calibri" w:eastAsia="Calibri"/>
              <w:b w:val="0"/>
              <w:i w:val="0"/>
              <w:color w:val="8493A8"/>
              <w:sz w:val="14"/>
              <w:u w:val="none"/>
            </w:rPr>
            <w:t xml:space="preserve">Aurixa Systems    |    </w:t>
          </w:r>
          <w:r>
            <w:rPr>
              <w:rFonts w:ascii="Calibri" w:hAnsi="Calibri" w:cs="Calibri" w:eastAsia="Calibri"/>
              <w:b/>
              <w:i w:val="0"/>
              <w:color w:val="4C5B73"/>
              <w:sz w:val="14"/>
              <w:u w:val="none"/>
            </w:rPr>
            <w:t>v1.0</w:t>
          </w:r>
          <w:r>
            <w:rPr>
              <w:rFonts w:ascii="Calibri" w:hAnsi="Calibri" w:cs="Calibri" w:eastAsia="Calibri"/>
              <w:b w:val="0"/>
              <w:i w:val="0"/>
              <w:color w:val="8493A8"/>
              <w:sz w:val="14"/>
              <w:u w:val="none"/>
            </w:rPr>
            <w:t xml:space="preserve">    |    Page </w:t>
          </w:r>
          <w:r>
            <w:rPr>
              <w:rFonts w:ascii="Calibri" w:hAnsi="Calibri" w:cs="Calibri" w:eastAsia="Calibri"/>
              <w:b/>
              <w:i w:val="0"/>
              <w:color w:val="4C5B73"/>
              <w:sz w:val="14"/>
              <w:u w:val="none"/>
            </w:rPr>
            <w:fldChar w:fldCharType="begin"/>
            <w:instrText xml:space="preserve"> PAGE </w:instrText>
            <w:fldChar w:fldCharType="separate"/>
            <w:fldChar w:fldCharType="end"/>
          </w:r>
          <w:r>
            <w:rPr>
              <w:rFonts w:ascii="Calibri" w:hAnsi="Calibri" w:cs="Calibri" w:eastAsia="Calibri"/>
              <w:b w:val="0"/>
              <w:i w:val="0"/>
              <w:color w:val="8493A8"/>
              <w:sz w:val="14"/>
              <w:u w:val="none"/>
            </w:rPr>
            <w:t xml:space="preserve"> of </w:t>
          </w:r>
          <w:r>
            <w:rPr>
              <w:rFonts w:ascii="Calibri" w:hAnsi="Calibri" w:cs="Calibri" w:eastAsia="Calibri"/>
              <w:b/>
              <w:i w:val="0"/>
              <w:color w:val="4C5B73"/>
              <w:sz w:val="14"/>
              <w:u w:val="none"/>
            </w:rPr>
            <w:fldChar w:fldCharType="begin"/>
            <w:instrText xml:space="preserve"> NUMPAGES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keepLines/>
      <w:pageBreakBefore w:val="0"/>
      <w:widowControl w:val="1"/>
      <w:spacing w:before="0" w:after="0" w:line="20" w:lineRule="exact"/>
    </w:pPr>
    <w:r>
      <w:rPr>
        <w:sz w:val="2"/>
      </w:rPr>
    </w:r>
  </w:p>
  <w:tbl>
    <w:tblPr>
      <w:tblW w:type="auto" w:w="0"/>
      <w:jc w:val="center"/>
      <w:tblInd w:w="0" w:type="dxa"/>
      <w:tblBorders>
        <w:top w:val="nil"/>
        <w:left w:val="nil"/>
        <w:bottom w:val="nil"/>
        <w:right w:val="nil"/>
        <w:insideH w:val="nil"/>
        <w:insideV w:val="nil"/>
      </w:tblBorders>
      <w:tblLayout w:type="fixed"/>
      <w:tblLook w:firstColumn="1" w:firstRow="1" w:lastColumn="0" w:lastRow="0" w:noHBand="0" w:noVBand="1" w:val="04A0"/>
    </w:tblPr>
    <w:tblGrid>
      <w:gridCol w:w="5046"/>
      <w:gridCol w:w="5046"/>
    </w:tblGrid>
    <w:tr>
      <w:trPr>
        <w:cantSplit/>
      </w:trPr>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pPr>
          <w:r>
            <w:rPr>
              <w:rFonts w:ascii="Calibri" w:hAnsi="Calibri" w:cs="Calibri" w:eastAsia="Calibri"/>
              <w:b/>
              <w:i w:val="0"/>
              <w:caps w:val="1"/>
              <w:color w:val="4C5B73"/>
              <w:spacing w:val="24"/>
              <w:sz w:val="14"/>
              <w:u w:val="none"/>
            </w:rPr>
            <w:t>Aurixa Systems</w:t>
          </w:r>
        </w:p>
      </w:tc>
      <w:tc>
        <w:tcPr>
          <w:tcW w:type="dxa" w:w="5046"/>
          <w:tcBorders>
            <w:top w:val="nil"/>
            <w:left w:val="nil"/>
            <w:bottom w:val="single" w:sz="6" w:space="0" w:color="1D6FE0"/>
            <w:right w:val="nil"/>
          </w:tcBorders>
          <w:tcMar>
            <w:top w:w="0" w:type="dxa"/>
            <w:left w:w="0" w:type="dxa"/>
            <w:bottom w:w="70" w:type="dxa"/>
            <w:right w:w="0" w:type="dxa"/>
          </w:tcMar>
        </w:tcPr>
        <w:p>
          <w:pPr>
            <w:keepNext w:val="0"/>
            <w:keepLines/>
            <w:pageBreakBefore w:val="0"/>
            <w:widowControl w:val="1"/>
            <w:spacing w:before="0" w:after="0"/>
            <w:jc w:val="right"/>
          </w:pPr>
          <w:r>
            <w:rPr>
              <w:rFonts w:ascii="Calibri" w:hAnsi="Calibri" w:cs="Calibri" w:eastAsia="Calibri"/>
              <w:b/>
              <w:i w:val="0"/>
              <w:caps w:val="1"/>
              <w:color w:val="4C5B73"/>
              <w:spacing w:val="24"/>
              <w:sz w:val="14"/>
              <w:u w:val="none"/>
            </w:rPr>
            <w:t>Borrowing Capacity Report</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307" w:lineRule="auto"/>
    </w:pPr>
    <w:rPr>
      <w:rFonts w:ascii="Calibri" w:hAnsi="Calibri" w:cs="Calibri" w:eastAsia="Calibri"/>
      <w:color w:val="1019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Borrowing Capacity Report</dc:title>
  <dc:subject>Assessed borrowing capacity across lenders, with the inputs, the assessment-rate treatment and the sensitivity that produced it.</dc:subject>
  <dc:creator>Aurixa Systems</dc:creator>
  <cp:keywords>Borrowing capacity, Serviceability, Pre-approval position, Finance &amp; Lending, Aurixa</cp:keywords>
  <dc:description>Generated by the Aurixa Command Center template library (scripts/aurixa-templates). Edit the builder and regenerate rather than editing this file by hand.</dc:description>
  <cp:lastModifiedBy>Aurixa Systems</cp:lastModifiedBy>
  <cp:revision>1</cp:revision>
  <dcterms:created xsi:type="dcterms:W3CDTF">2013-12-23T23:15:00Z</dcterms:created>
  <dcterms:modified xsi:type="dcterms:W3CDTF">2013-12-23T23:15:00Z</dcterms:modified>
  <cp:category>Aurixa Command Center template</cp:category>
</cp:coreProperties>
</file>