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250" w:type="dxa"/>
              <w:left w:w="200" w:type="dxa"/>
              <w:bottom w:w="12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6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{{proposal.coverCaption}}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855"/>
      </w:tblGrid>
      <w:tr>
        <w:trPr>
          <w:cantSplit/>
        </w:trPr>
        <w:tc>
          <w:tcPr>
            <w:tcW w:type="dxa" w:w="3855"/>
            <w:tcBorders>
              <w:top w:val="dashed" w:sz="8" w:space="0" w:color="C2CDDC"/>
              <w:left w:val="dashed" w:sz="8" w:space="0" w:color="C2CDDC"/>
              <w:bottom w:val="dashed" w:sz="8" w:space="0" w:color="C2CDDC"/>
              <w:right w:val="dashed" w:sz="8" w:space="0" w:color="C2CDDC"/>
            </w:tcBorders>
            <w:tcMar>
              <w:top w:w="190" w:type="dxa"/>
              <w:left w:w="130" w:type="dxa"/>
              <w:bottom w:w="190" w:type="dxa"/>
              <w:right w:w="13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60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60"/>
        <w:jc w:val="center"/>
      </w:pPr>
      <w:r>
        <w:rPr>
          <w:rFonts w:ascii="Calibri" w:hAnsi="Calibri" w:cs="Calibri" w:eastAsia="Calibri"/>
          <w:b/>
          <w:i w:val="0"/>
          <w:caps w:val="1"/>
          <w:color w:val="12B0CE"/>
          <w:spacing w:val="92"/>
          <w:sz w:val="16"/>
          <w:u w:val="none"/>
        </w:rPr>
        <w:t>Proposal</w:t>
      </w:r>
    </w:p>
    <w:p>
      <w:pPr>
        <w:keepNext/>
        <w:keepLines/>
        <w:pageBreakBefore w:val="0"/>
        <w:widowControl w:val="1"/>
        <w:spacing w:before="0" w:after="200" w:line="245" w:lineRule="auto"/>
        <w:jc w:val="center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64"/>
          <w:u w:val="none"/>
        </w:rPr>
        <w:t>{{proposal.title}}</w:t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2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60" w:lineRule="auto"/>
        <w:jc w:val="center"/>
      </w:pPr>
      <w:r>
        <w:rPr>
          <w:rFonts w:ascii="Calibri" w:hAnsi="Calibri" w:cs="Calibri" w:eastAsia="Calibri"/>
          <w:b w:val="0"/>
          <w:i w:val="0"/>
          <w:color w:val="4C5B73"/>
          <w:sz w:val="22"/>
          <w:u w:val="none"/>
        </w:rPr>
        <w:t>{{proposal.subtitle}}</w:t>
      </w:r>
    </w:p>
    <w:p>
      <w:pPr>
        <w:keepNext w:val="0"/>
        <w:keepLines/>
        <w:pageBreakBefore w:val="0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Valid until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{{proposal.validity}}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Your situation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{{proposal.situation}}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WHAT WE PROPOSE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2"/>
                <w:u w:val="none"/>
              </w:rPr>
              <w:t>{{proposal.approach}}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{{proposal.approachRationale}}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Scope of work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What you receive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{{deliverables[4]}}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{{deliverables[5]}}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Your team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{{team.0.credentials[0]}}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{{team.0.credentials[1]}}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{{team.0.credentials[2]}}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{{team.1.bio}}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{{team.1.credentials[0]}}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{{team.1.credentials[1]}}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Indicative timeline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Investment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Fees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ees"/>
        <w:tblDescription w:val="Columns: Item, Basis, Amount, When payable"/>
      </w:tblPr>
      <w:tblGrid>
        <w:gridCol w:w="2494"/>
        <w:gridCol w:w="3515"/>
        <w:gridCol w:w="1928"/>
        <w:gridCol w:w="2154"/>
      </w:tblGrid>
      <w:tr>
        <w:trPr>
          <w:cantSplit/>
          <w:trHeight w:val="420" w:hRule="atLeast"/>
          <w:tblHeader/>
        </w:trPr>
        <w:tc>
          <w:tcPr>
            <w:tcW w:type="dxa" w:w="24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When payable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7"/>
                <w:u w:val="none"/>
              </w:rPr>
              <w:t>Estimated total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7"/>
                <w:u w:val="none"/>
              </w:rPr>
              <w:t>On an $865,000 acquisition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17"/>
                <w:u w:val="none"/>
              </w:rPr>
              <w:t>$24,470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All amounts include GST. The retainer is credited against the success fee, so the total does not change if we find the property in week three.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52"/>
                <w:sz w:val="15"/>
                <w:u w:val="none"/>
              </w:rPr>
              <w:t>Why us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{{proposal.whyUs}}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{{proposal.evidence[2]}}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{{proposal.evidence[3]}}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2B0CE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Case study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70"/>
              <w:gridCol w:w="7188"/>
            </w:tblGrid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{{caseStudy.brief}}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{{caseStudy.constraint}}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{{caseStudy.action}}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Outcome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{{caseStudy.outcome}}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2B0CE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52"/>
                <w:sz w:val="16"/>
                <w:u w:val="none"/>
              </w:rPr>
              <w:t>Accepted by the 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2B0CE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52"/>
                <w:sz w:val="16"/>
                <w:u w:val="none"/>
              </w:rPr>
              <w:t>For the organisation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Validity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This proposal is valid for 30 days from the date on the cover. Fees quoted are estimates where they depend on a purchase price that is not yet known; the basis of calculation is fixed and is stated in the fee table.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71527"/>
              <w:left w:val="single" w:sz="4" w:space="0" w:color="071527"/>
              <w:bottom w:val="single" w:sz="4" w:space="0" w:color="071527"/>
              <w:right w:val="single" w:sz="4" w:space="0" w:color="071527"/>
            </w:tcBorders>
            <w:shd w:val="clear" w:color="auto" w:fill="071527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6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4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{{org.website}}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{{org.email}}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{{org.phone}}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{{org.socials}}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Aurixa Systems Pty Ltd   ·   ABN {{org.abn}}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Client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55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Proposal</dc:title>
  <dc:subject>A commercial proposal: the client's situation, the proposed approach, the team, the fees, and why this organisation.</dc:subject>
  <dc:creator>Aurixa Systems</dc:creator>
  <cp:keywords>Proposal, Pitch, Engagement proposal,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