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Height w:val="7824" w:hRule="atLeast"/>
        </w:trPr>
        <w:tc>
          <w:tcPr>
            <w:tcW w:type="dxa" w:w="10091"/>
            <w:tcBorders>
              <w:top w:val="single" w:sz="10" w:space="0" w:color="1D6FE0"/>
              <w:left w:val="nil"/>
              <w:bottom w:val="nil"/>
              <w:right w:val="nil"/>
            </w:tcBorders>
            <w:shd w:val="clear" w:color="auto" w:fill="0C2340"/>
            <w:tcMar>
              <w:top w:w="380" w:type="dxa"/>
              <w:left w:w="320" w:type="dxa"/>
              <w:bottom w:w="380" w:type="dxa"/>
              <w:right w:w="320" w:type="dxa"/>
            </w:tcMar>
            <w:vAlign w:val="center"/>
          </w:tcPr>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3515"/>
            </w:tblGrid>
            <w:tr>
              <w:trPr>
                <w:cantSplit/>
              </w:trPr>
              <w:tc>
                <w:tcPr>
                  <w:tcW w:type="dxa" w:w="3515"/>
                  <w:tcBorders>
                    <w:top w:val="dashed" w:sz="8" w:space="0" w:color="1D6FE0"/>
                    <w:left w:val="dashed" w:sz="8" w:space="0" w:color="1D6FE0"/>
                    <w:bottom w:val="dashed" w:sz="8" w:space="0" w:color="1D6FE0"/>
                    <w:right w:val="dashed" w:sz="8" w:space="0" w:color="1D6FE0"/>
                  </w:tcBorders>
                  <w:tcMar>
                    <w:top w:w="190" w:type="dxa"/>
                    <w:left w:w="130" w:type="dxa"/>
                    <w:bottom w:w="190" w:type="dxa"/>
                    <w:right w:w="130" w:type="dxa"/>
                  </w:tcMar>
                </w:tcPr>
                <w:p>
                  <w:pPr>
                    <w:keepNext w:val="0"/>
                    <w:keepLines/>
                    <w:pageBreakBefore w:val="0"/>
                    <w:widowControl w:val="1"/>
                    <w:spacing w:before="0" w:after="0"/>
                    <w:jc w:val="center"/>
                  </w:pPr>
                  <w:r>
                    <w:rPr>
                      <w:rFonts w:ascii="Calibri" w:hAnsi="Calibri" w:cs="Calibri" w:eastAsia="Calibri"/>
                      <w:b/>
                      <w:i w:val="0"/>
                      <w:caps w:val="1"/>
                      <w:color w:val="1D6FE0"/>
                      <w:spacing w:val="40"/>
                      <w:sz w:val="14"/>
                      <w:u w:val="none"/>
                    </w:rPr>
                    <w:t>[  AURIXA SYSTEMS  ]</w:t>
                  </w:r>
                </w:p>
              </w:tc>
            </w:tr>
          </w:tbl>
          <w:p/>
          <w:p>
            <w:pPr>
              <w:keepNext w:val="0"/>
              <w:keepLines/>
              <w:pageBreakBefore w:val="0"/>
              <w:widowControl w:val="1"/>
              <w:spacing w:before="0" w:after="0" w:line="200" w:lineRule="exact"/>
            </w:pPr>
            <w:r>
              <w:rPr>
                <w:sz w:val="2"/>
              </w:rPr>
            </w:r>
          </w:p>
          <w:p>
            <w:pPr>
              <w:keepNext w:val="0"/>
              <w:keepLines/>
              <w:pageBreakBefore w:val="0"/>
              <w:widowControl w:val="1"/>
              <w:spacing w:before="0" w:after="80"/>
            </w:pPr>
            <w:r>
              <w:rPr>
                <w:rFonts w:ascii="Calibri" w:hAnsi="Calibri" w:cs="Calibri" w:eastAsia="Calibri"/>
                <w:b/>
                <w:i w:val="0"/>
                <w:caps w:val="1"/>
                <w:color w:val="1D6FE0"/>
                <w:spacing w:val="64"/>
                <w:sz w:val="16"/>
                <w:u w:val="none"/>
              </w:rPr>
              <w:t>Debt structure &amp; funding plan</w:t>
            </w:r>
          </w:p>
          <w:p>
            <w:pPr>
              <w:keepNext w:val="0"/>
              <w:keepLines/>
              <w:pageBreakBefore w:val="0"/>
              <w:widowControl w:val="1"/>
              <w:spacing w:before="0" w:after="180"/>
            </w:pPr>
            <w:r>
              <w:rPr>
                <w:rFonts w:ascii="Calibri" w:hAnsi="Calibri" w:cs="Calibri" w:eastAsia="Calibri"/>
                <w:b/>
                <w:i w:val="0"/>
                <w:caps w:val="1"/>
                <w:color w:val="FFFFFF"/>
                <w:spacing w:val="48"/>
                <w:sz w:val="19"/>
                <w:u w:val="none"/>
              </w:rPr>
              <w:t>Aurixa Systems</w:t>
            </w:r>
          </w:p>
          <w:p>
            <w:pPr>
              <w:keepNext/>
              <w:keepLines/>
              <w:pageBreakBefore w:val="0"/>
              <w:widowControl w:val="1"/>
              <w:spacing w:before="0" w:after="160" w:line="230" w:lineRule="auto"/>
            </w:pPr>
            <w:r>
              <w:rPr>
                <w:rFonts w:ascii="Calibri" w:hAnsi="Calibri" w:cs="Calibri" w:eastAsia="Calibri"/>
                <w:b/>
                <w:i w:val="0"/>
                <w:color w:val="FFFFFF"/>
                <w:spacing w:val="-6"/>
                <w:sz w:val="60"/>
                <w:u w:val="none"/>
              </w:rPr>
              <w:t>Finance Strategy Report</w:t>
            </w:r>
          </w:p>
          <w:p>
            <w:pPr>
              <w:keepNext w:val="0"/>
              <w:keepLines/>
              <w:pageBreakBefore w:val="0"/>
              <w:widowControl w:val="1"/>
              <w:spacing w:before="0" w:after="0" w:line="322" w:lineRule="auto"/>
            </w:pPr>
            <w:r>
              <w:rPr>
                <w:rFonts w:ascii="Calibri" w:hAnsi="Calibri" w:cs="Calibri" w:eastAsia="Calibri"/>
                <w:b w:val="0"/>
                <w:i w:val="0"/>
                <w:color w:val="AFC0D6"/>
                <w:sz w:val="22"/>
                <w:u w:val="none"/>
              </w:rPr>
              <w:t>How your lending should be structured to support the next three acquisitions, and the order the moves need to happen in.</w:t>
            </w:r>
          </w:p>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872"/>
              <w:gridCol w:w="2872"/>
              <w:gridCol w:w="2872"/>
            </w:tblGrid>
            <w:tr>
              <w:trPr>
                <w:cantSplit/>
              </w:trPr>
              <w:tc>
                <w:tcPr>
                  <w:tcW w:type="dxa" w:w="2872"/>
                  <w:tcBorders>
                    <w:top w:val="single" w:sz="4" w:space="0" w:color="1D6FE0"/>
                    <w:left w:val="single" w:sz="4" w:space="0" w:color="1D6FE0"/>
                    <w:bottom w:val="single" w:sz="4" w:space="0" w:color="1D6FE0"/>
                    <w:right w:val="single" w:sz="4" w:space="0" w:color="1D6FE0"/>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D6FE0"/>
                      <w:spacing w:val="28"/>
                      <w:sz w:val="14"/>
                      <w:u w:val="none"/>
                    </w:rPr>
                    <w:t>STRATEGY</w:t>
                  </w:r>
                </w:p>
              </w:tc>
              <w:tc>
                <w:tcPr>
                  <w:tcW w:type="dxa" w:w="2872"/>
                  <w:tcBorders>
                    <w:top w:val="single" w:sz="4" w:space="0" w:color="1D6FE0"/>
                    <w:left w:val="single" w:sz="4" w:space="0" w:color="1D6FE0"/>
                    <w:bottom w:val="single" w:sz="4" w:space="0" w:color="1D6FE0"/>
                    <w:right w:val="single" w:sz="4" w:space="0" w:color="1D6FE0"/>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D6FE0"/>
                      <w:spacing w:val="28"/>
                      <w:sz w:val="14"/>
                      <w:u w:val="none"/>
                    </w:rPr>
                    <w:t>SEQUENCED</w:t>
                  </w:r>
                </w:p>
              </w:tc>
              <w:tc>
                <w:tcPr>
                  <w:tcW w:type="dxa" w:w="2872"/>
                  <w:tcBorders>
                    <w:top w:val="single" w:sz="4" w:space="0" w:color="1D6FE0"/>
                    <w:left w:val="single" w:sz="4" w:space="0" w:color="1D6FE0"/>
                    <w:bottom w:val="single" w:sz="4" w:space="0" w:color="1D6FE0"/>
                    <w:right w:val="single" w:sz="4" w:space="0" w:color="1D6FE0"/>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D6FE0"/>
                      <w:spacing w:val="28"/>
                      <w:sz w:val="14"/>
                      <w:u w:val="none"/>
                    </w:rPr>
                    <w:t>STRESS-TESTED</w:t>
                  </w:r>
                </w:p>
              </w:tc>
            </w:tr>
          </w:tbl>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105" w:type="dxa"/>
              <w:left w:w="147" w:type="dxa"/>
              <w:bottom w:w="105" w:type="dxa"/>
              <w:right w:w="147"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Prepared for</w:t>
            </w:r>
          </w:p>
        </w:tc>
        <w:tc>
          <w:tcPr>
            <w:tcW w:type="dxa" w:w="3027"/>
            <w:tcBorders>
              <w:top w:val="single" w:sz="4" w:space="0" w:color="FFFFFF"/>
              <w:left w:val="nil"/>
              <w:bottom w:val="single" w:sz="4" w:space="0" w:color="DCE3ED"/>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J. &amp; S. Nguyen</w:t>
            </w:r>
          </w:p>
        </w:tc>
        <w:tc>
          <w:tcPr>
            <w:tcW w:type="dxa" w:w="2018"/>
            <w:tcBorders>
              <w:top w:val="single" w:sz="4" w:space="0" w:color="FFFFFF"/>
              <w:left w:val="nil"/>
              <w:bottom w:val="single" w:sz="4" w:space="0" w:color="FFFFFF"/>
              <w:right w:val="nil"/>
            </w:tcBorders>
            <w:shd w:val="clear" w:color="auto" w:fill="EDF1F7"/>
            <w:tcMar>
              <w:top w:w="105" w:type="dxa"/>
              <w:left w:w="147" w:type="dxa"/>
              <w:bottom w:w="105" w:type="dxa"/>
              <w:right w:w="147"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Client reference</w:t>
            </w:r>
          </w:p>
        </w:tc>
        <w:tc>
          <w:tcPr>
            <w:tcW w:type="dxa" w:w="3027"/>
            <w:tcBorders>
              <w:top w:val="single" w:sz="4" w:space="0" w:color="FFFFFF"/>
              <w:left w:val="nil"/>
              <w:bottom w:val="single" w:sz="4" w:space="0" w:color="DCE3ED"/>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CL-2026-0418</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105" w:type="dxa"/>
              <w:left w:w="147" w:type="dxa"/>
              <w:bottom w:w="105" w:type="dxa"/>
              <w:right w:w="147"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Prepared by</w:t>
            </w:r>
          </w:p>
        </w:tc>
        <w:tc>
          <w:tcPr>
            <w:tcW w:type="dxa" w:w="3027"/>
            <w:tcBorders>
              <w:top w:val="single" w:sz="4" w:space="0" w:color="FFFFFF"/>
              <w:left w:val="nil"/>
              <w:bottom w:val="single" w:sz="4" w:space="0" w:color="DCE3ED"/>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A. Nguyen</w:t>
            </w:r>
          </w:p>
        </w:tc>
        <w:tc>
          <w:tcPr>
            <w:tcW w:type="dxa" w:w="2018"/>
            <w:tcBorders>
              <w:top w:val="single" w:sz="4" w:space="0" w:color="FFFFFF"/>
              <w:left w:val="nil"/>
              <w:bottom w:val="single" w:sz="4" w:space="0" w:color="FFFFFF"/>
              <w:right w:val="nil"/>
            </w:tcBorders>
            <w:shd w:val="clear" w:color="auto" w:fill="EDF1F7"/>
            <w:tcMar>
              <w:top w:w="105" w:type="dxa"/>
              <w:left w:w="147" w:type="dxa"/>
              <w:bottom w:w="105" w:type="dxa"/>
              <w:right w:w="147"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Date of issue</w:t>
            </w:r>
          </w:p>
        </w:tc>
        <w:tc>
          <w:tcPr>
            <w:tcW w:type="dxa" w:w="3027"/>
            <w:tcBorders>
              <w:top w:val="single" w:sz="4" w:space="0" w:color="FFFFFF"/>
              <w:left w:val="nil"/>
              <w:bottom w:val="single" w:sz="4" w:space="0" w:color="DCE3ED"/>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31 July 2026</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105" w:type="dxa"/>
              <w:left w:w="147" w:type="dxa"/>
              <w:bottom w:w="105" w:type="dxa"/>
              <w:right w:w="147"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Document reference</w:t>
            </w:r>
          </w:p>
        </w:tc>
        <w:tc>
          <w:tcPr>
            <w:tcW w:type="dxa" w:w="3027"/>
            <w:tcBorders>
              <w:top w:val="single" w:sz="4" w:space="0" w:color="FFFFFF"/>
              <w:left w:val="nil"/>
              <w:bottom w:val="single" w:sz="4" w:space="0" w:color="DCE3ED"/>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APR-0418-01</w:t>
            </w:r>
          </w:p>
        </w:tc>
        <w:tc>
          <w:tcPr>
            <w:tcW w:type="dxa" w:w="2018"/>
            <w:tcBorders>
              <w:top w:val="single" w:sz="4" w:space="0" w:color="FFFFFF"/>
              <w:left w:val="nil"/>
              <w:bottom w:val="single" w:sz="4" w:space="0" w:color="FFFFFF"/>
              <w:right w:val="nil"/>
            </w:tcBorders>
            <w:shd w:val="clear" w:color="auto" w:fill="EDF1F7"/>
            <w:tcMar>
              <w:top w:w="105" w:type="dxa"/>
              <w:left w:w="147" w:type="dxa"/>
              <w:bottom w:w="105" w:type="dxa"/>
              <w:right w:w="147"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Version</w:t>
            </w:r>
          </w:p>
        </w:tc>
        <w:tc>
          <w:tcPr>
            <w:tcW w:type="dxa" w:w="3027"/>
            <w:tcBorders>
              <w:top w:val="single" w:sz="4" w:space="0" w:color="FFFFFF"/>
              <w:left w:val="nil"/>
              <w:bottom w:val="single" w:sz="4" w:space="0" w:color="DCE3ED"/>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1.0</w:t>
            </w:r>
          </w:p>
        </w:tc>
      </w:tr>
    </w:tbl>
    <w:p>
      <w:pPr>
        <w:keepNext w:val="0"/>
        <w:keepLines/>
        <w:pageBreakBefore w:val="0"/>
        <w:widowControl w:val="1"/>
        <w:spacing w:before="0" w:after="0"/>
      </w:pPr>
      <w:r>
        <w:br w:type="page"/>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shd w:val="clear" w:color="auto" w:fill="1D6FE0"/>
            <w:tcMar>
              <w:top w:w="60" w:type="dxa"/>
              <w:left w:w="150" w:type="dxa"/>
              <w:bottom w:w="60" w:type="dxa"/>
              <w:right w:w="150" w:type="dxa"/>
            </w:tcMar>
          </w:tcPr>
          <w:p>
            <w:pPr>
              <w:keepNext/>
              <w:keepLines/>
              <w:pageBreakBefore w:val="0"/>
              <w:widowControl w:val="1"/>
              <w:spacing w:before="0" w:after="0"/>
            </w:pPr>
            <w:r>
              <w:rPr>
                <w:rFonts w:ascii="Calibri" w:hAnsi="Calibri" w:cs="Calibri" w:eastAsia="Calibri"/>
                <w:b/>
                <w:i w:val="0"/>
                <w:caps w:val="1"/>
                <w:color w:val="FFFFFF"/>
                <w:spacing w:val="40"/>
                <w:sz w:val="16"/>
                <w:u w:val="none"/>
              </w:rPr>
              <w:t>01   Executive summary</w:t>
            </w:r>
          </w:p>
        </w:tc>
      </w:tr>
      <w:tr>
        <w:trPr>
          <w:cantSplit/>
        </w:trPr>
        <w:tc>
          <w:tcPr>
            <w:tcW w:type="dxa" w:w="10091"/>
            <w:tcBorders>
              <w:top w:val="nil"/>
              <w:left w:val="nil"/>
              <w:bottom w:val="single" w:sz="4" w:space="0" w:color="DCE3ED"/>
              <w:right w:val="nil"/>
            </w:tcBorders>
            <w:shd w:val="clear" w:color="auto" w:fill="F7F9FC"/>
            <w:tcMar>
              <w:top w:w="110" w:type="dxa"/>
              <w:left w:w="150" w:type="dxa"/>
              <w:bottom w:w="110" w:type="dxa"/>
              <w:right w:w="150" w:type="dxa"/>
            </w:tcMar>
          </w:tcPr>
          <w:p>
            <w:pPr>
              <w:keepNext/>
              <w:keepLines/>
              <w:pageBreakBefore w:val="0"/>
              <w:widowControl w:val="1"/>
              <w:spacing w:before="0" w:after="0"/>
            </w:pPr>
            <w:r>
              <w:rPr>
                <w:rFonts w:ascii="Calibri" w:hAnsi="Calibri" w:cs="Calibri" w:eastAsia="Calibri"/>
                <w:b/>
                <w:i w:val="0"/>
                <w:color w:val="0C2340"/>
                <w:sz w:val="25"/>
                <w:u w:val="none"/>
              </w:rPr>
              <w:t>The strategy in brief</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4" w:space="0" w:color="DCE3ED"/>
              <w:left w:val="single" w:sz="18" w:space="0" w:color="1D6FE0"/>
              <w:bottom w:val="single" w:sz="4" w:space="0" w:color="DCE3ED"/>
              <w:right w:val="single" w:sz="4" w:space="0" w:color="DCE3ED"/>
            </w:tcBorders>
            <w:shd w:val="clear" w:color="auto" w:fill="F7F9FC"/>
            <w:tcMar>
              <w:top w:w="189" w:type="dxa"/>
              <w:left w:w="220" w:type="dxa"/>
              <w:bottom w:w="189" w:type="dxa"/>
              <w:right w:w="220" w:type="dxa"/>
            </w:tcMar>
          </w:tcPr>
          <w:p>
            <w:pPr>
              <w:keepNext/>
              <w:keepLines/>
              <w:pageBreakBefore w:val="0"/>
              <w:widowControl w:val="1"/>
              <w:spacing w:before="0" w:after="80"/>
            </w:pPr>
            <w:r>
              <w:rPr>
                <w:rFonts w:ascii="Calibri" w:hAnsi="Calibri" w:cs="Calibri" w:eastAsia="Calibri"/>
                <w:b/>
                <w:i w:val="0"/>
                <w:caps w:val="1"/>
                <w:color w:val="1D6FE0"/>
                <w:spacing w:val="32"/>
                <w:sz w:val="15"/>
                <w:u w:val="none"/>
              </w:rPr>
              <w:t>Executive summary</w:t>
            </w:r>
          </w:p>
          <w:p>
            <w:pPr>
              <w:keepNext/>
              <w:keepLines/>
              <w:pageBreakBefore w:val="0"/>
              <w:widowControl w:val="1"/>
              <w:spacing w:before="0" w:after="120" w:line="293" w:lineRule="auto"/>
            </w:pPr>
            <w:r>
              <w:rPr>
                <w:rFonts w:ascii="Calibri" w:hAnsi="Calibri" w:cs="Calibri" w:eastAsia="Calibri"/>
                <w:b/>
                <w:i w:val="0"/>
                <w:color w:val="0C2340"/>
                <w:sz w:val="23"/>
                <w:u w:val="none"/>
              </w:rPr>
              <w:t>Split the cross-collateralised facilities first, then release equity — doing it the other way round costs you a full valuation cycle.</w:t>
            </w:r>
          </w:p>
          <w:p>
            <w:pPr>
              <w:keepNext w:val="0"/>
              <w:keepLines/>
              <w:pageBreakBefore w:val="0"/>
              <w:widowControl w:val="1"/>
              <w:spacing w:before="0" w:after="0" w:line="326" w:lineRule="auto"/>
            </w:pPr>
            <w:r>
              <w:rPr>
                <w:rFonts w:ascii="Calibri" w:hAnsi="Calibri" w:cs="Calibri" w:eastAsia="Calibri"/>
                <w:b w:val="0"/>
                <w:i w:val="0"/>
                <w:color w:val="10192A"/>
                <w:sz w:val="19"/>
                <w:u w:val="none"/>
              </w:rPr>
              <w:t>Your four properties are currently secured under two cross-collateralised facilities with a single lender. That structure has produced a blended rate 0.34% above market and, more importantly, means any equity release requires revaluation of all four assets together.</w:t>
            </w:r>
          </w:p>
          <w:p>
            <w:pPr>
              <w:keepNext w:val="0"/>
              <w:keepLines/>
              <w:pageBreakBefore w:val="0"/>
              <w:widowControl w:val="1"/>
              <w:spacing w:before="100" w:after="0" w:line="326" w:lineRule="auto"/>
            </w:pPr>
            <w:r>
              <w:rPr>
                <w:rFonts w:ascii="Calibri" w:hAnsi="Calibri" w:cs="Calibri" w:eastAsia="Calibri"/>
                <w:b w:val="0"/>
                <w:i w:val="0"/>
                <w:color w:val="10192A"/>
                <w:sz w:val="19"/>
                <w:u w:val="none"/>
              </w:rPr>
              <w:t>The recommended structure separates each property into a standalone facility across two lenders, with a dedicated equity release facility against the two assets that have grown most. This releases $340,000 of usable equity and reduces the blended rate to 6.18%.</w:t>
            </w:r>
          </w:p>
          <w:p>
            <w:pPr>
              <w:keepNext w:val="0"/>
              <w:keepLines/>
              <w:pageBreakBefore w:val="0"/>
              <w:widowControl w:val="1"/>
              <w:spacing w:before="100" w:after="0" w:line="326" w:lineRule="auto"/>
            </w:pPr>
            <w:r>
              <w:rPr>
                <w:rFonts w:ascii="Calibri" w:hAnsi="Calibri" w:cs="Calibri" w:eastAsia="Calibri"/>
                <w:b w:val="0"/>
                <w:i w:val="0"/>
                <w:color w:val="10192A"/>
                <w:sz w:val="19"/>
                <w:u w:val="none"/>
              </w:rPr>
              <w:t>Sequencing matters. Releasing equity before splitting the facilities would lock the current lender's valuations in for a further six months.</w:t>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32"/>
                <w:sz w:val="15"/>
                <w:u w:val="none"/>
              </w:rPr>
              <w:t>What this means</w:t>
            </w:r>
          </w:p>
          <w:p>
            <w:pPr>
              <w:keepNext w:val="0"/>
              <w:keepLines/>
              <w:pageBreakBefore w:val="0"/>
              <w:widowControl w:val="1"/>
              <w:spacing w:before="0" w:after="0" w:line="326" w:lineRule="auto"/>
              <w:ind w:left="200" w:hanging="200"/>
            </w:pPr>
            <w:r>
              <w:rPr>
                <w:rFonts w:ascii="Calibri" w:hAnsi="Calibri" w:cs="Calibri" w:eastAsia="Calibri"/>
                <w:b/>
                <w:i w:val="0"/>
                <w:color w:val="1D6FE0"/>
                <w:sz w:val="19"/>
                <w:u w:val="none"/>
              </w:rPr>
              <w:t xml:space="preserve">›  </w:t>
            </w:r>
            <w:r>
              <w:rPr>
                <w:rFonts w:ascii="Calibri" w:hAnsi="Calibri" w:cs="Calibri" w:eastAsia="Calibri"/>
                <w:b w:val="0"/>
                <w:i w:val="0"/>
                <w:color w:val="10192A"/>
                <w:sz w:val="19"/>
                <w:u w:val="none"/>
              </w:rPr>
              <w:t>Unwind cross-collateralisation before any equity release.</w:t>
            </w:r>
          </w:p>
          <w:p>
            <w:pPr>
              <w:keepNext w:val="0"/>
              <w:keepLines/>
              <w:pageBreakBefore w:val="0"/>
              <w:widowControl w:val="1"/>
              <w:spacing w:before="80" w:after="0" w:line="326" w:lineRule="auto"/>
              <w:ind w:left="200" w:hanging="200"/>
            </w:pPr>
            <w:r>
              <w:rPr>
                <w:rFonts w:ascii="Calibri" w:hAnsi="Calibri" w:cs="Calibri" w:eastAsia="Calibri"/>
                <w:b/>
                <w:i w:val="0"/>
                <w:color w:val="1D6FE0"/>
                <w:sz w:val="19"/>
                <w:u w:val="none"/>
              </w:rPr>
              <w:t xml:space="preserve">›  </w:t>
            </w:r>
            <w:r>
              <w:rPr>
                <w:rFonts w:ascii="Calibri" w:hAnsi="Calibri" w:cs="Calibri" w:eastAsia="Calibri"/>
                <w:b w:val="0"/>
                <w:i w:val="0"/>
                <w:color w:val="10192A"/>
                <w:sz w:val="19"/>
                <w:u w:val="none"/>
              </w:rPr>
              <w:t>Blended rate falls from 6.52% to 6.18% — $9,180 per year.</w:t>
            </w:r>
          </w:p>
          <w:p>
            <w:pPr>
              <w:keepNext w:val="0"/>
              <w:keepLines/>
              <w:pageBreakBefore w:val="0"/>
              <w:widowControl w:val="1"/>
              <w:spacing w:before="80" w:after="0" w:line="326" w:lineRule="auto"/>
              <w:ind w:left="200" w:hanging="200"/>
            </w:pPr>
            <w:r>
              <w:rPr>
                <w:rFonts w:ascii="Calibri" w:hAnsi="Calibri" w:cs="Calibri" w:eastAsia="Calibri"/>
                <w:b/>
                <w:i w:val="0"/>
                <w:color w:val="1D6FE0"/>
                <w:sz w:val="19"/>
                <w:u w:val="none"/>
              </w:rPr>
              <w:t xml:space="preserve">›  </w:t>
            </w:r>
            <w:r>
              <w:rPr>
                <w:rFonts w:ascii="Calibri" w:hAnsi="Calibri" w:cs="Calibri" w:eastAsia="Calibri"/>
                <w:b w:val="0"/>
                <w:i w:val="0"/>
                <w:color w:val="10192A"/>
                <w:sz w:val="19"/>
                <w:u w:val="none"/>
              </w:rPr>
              <w:t>$340,000 of usable equity is released, funding two acquisitions.</w:t>
            </w:r>
          </w:p>
          <w:p>
            <w:pPr>
              <w:keepNext w:val="0"/>
              <w:keepLines/>
              <w:pageBreakBefore w:val="0"/>
              <w:widowControl w:val="1"/>
              <w:spacing w:before="80" w:after="0" w:line="326" w:lineRule="auto"/>
              <w:ind w:left="200" w:hanging="200"/>
            </w:pPr>
            <w:r>
              <w:rPr>
                <w:rFonts w:ascii="Calibri" w:hAnsi="Calibri" w:cs="Calibri" w:eastAsia="Calibri"/>
                <w:b/>
                <w:i w:val="0"/>
                <w:color w:val="1D6FE0"/>
                <w:sz w:val="19"/>
                <w:u w:val="none"/>
              </w:rPr>
              <w:t xml:space="preserve">›  </w:t>
            </w:r>
            <w:r>
              <w:rPr>
                <w:rFonts w:ascii="Calibri" w:hAnsi="Calibri" w:cs="Calibri" w:eastAsia="Calibri"/>
                <w:b w:val="0"/>
                <w:i w:val="0"/>
                <w:color w:val="10192A"/>
                <w:sz w:val="19"/>
                <w:u w:val="none"/>
              </w:rPr>
              <w:t>The full sequence takes approximately 14 weeks.</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523"/>
        <w:gridCol w:w="2523"/>
        <w:gridCol w:w="2523"/>
        <w:gridCol w:w="2523"/>
      </w:tblGrid>
      <w:tr>
        <w:trPr>
          <w:cantSplit/>
        </w:trPr>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32"/>
                <w:sz w:val="14"/>
                <w:u w:val="none"/>
              </w:rPr>
              <w:t>TOTAL DEBT</w:t>
            </w:r>
          </w:p>
        </w:tc>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32"/>
                <w:sz w:val="14"/>
                <w:u w:val="none"/>
              </w:rPr>
              <w:t>BLENDED RATE</w:t>
            </w:r>
          </w:p>
        </w:tc>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32"/>
                <w:sz w:val="14"/>
                <w:u w:val="none"/>
              </w:rPr>
              <w:t>USABLE EQUITY</w:t>
            </w:r>
          </w:p>
        </w:tc>
        <w:tc>
          <w:tcPr>
            <w:tcW w:type="dxa" w:w="2523"/>
            <w:tcBorders>
              <w:right w:val="nil"/>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32"/>
                <w:sz w:val="14"/>
                <w:u w:val="none"/>
              </w:rPr>
              <w:t>CURRENT LVR</w:t>
            </w:r>
          </w:p>
        </w:tc>
      </w:tr>
      <w:tr>
        <w:trPr>
          <w:cantSplit/>
        </w:trPr>
        <w:tc>
          <w:tcPr>
            <w:tcW w:type="dxa" w:w="2523"/>
            <w:tcBorders>
              <w:bottom w:val="single" w:sz="8" w:space="0" w:color="1D6FE0"/>
              <w:right w:val="single" w:sz="24" w:space="0" w:color="FFFFFF"/>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alibri" w:hAnsi="Calibri" w:cs="Calibri" w:eastAsia="Calibri"/>
                <w:b/>
                <w:i w:val="0"/>
                <w:color w:val="0C2340"/>
                <w:sz w:val="32"/>
                <w:u w:val="none"/>
              </w:rPr>
              <w:t>$1,847,000</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Across 4 assets</w:t>
            </w:r>
          </w:p>
        </w:tc>
        <w:tc>
          <w:tcPr>
            <w:tcW w:type="dxa" w:w="2523"/>
            <w:tcBorders>
              <w:bottom w:val="single" w:sz="8" w:space="0" w:color="1D6FE0"/>
              <w:right w:val="single" w:sz="24" w:space="0" w:color="FFFFFF"/>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alibri" w:hAnsi="Calibri" w:cs="Calibri" w:eastAsia="Calibri"/>
                <w:b/>
                <w:i w:val="0"/>
                <w:color w:val="0C2340"/>
                <w:sz w:val="32"/>
                <w:u w:val="none"/>
              </w:rPr>
              <w:t>6.52%</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Current</w:t>
            </w:r>
          </w:p>
        </w:tc>
        <w:tc>
          <w:tcPr>
            <w:tcW w:type="dxa" w:w="2523"/>
            <w:tcBorders>
              <w:bottom w:val="single" w:sz="8" w:space="0" w:color="1D6FE0"/>
              <w:right w:val="single" w:sz="24" w:space="0" w:color="FFFFFF"/>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alibri" w:hAnsi="Calibri" w:cs="Calibri" w:eastAsia="Calibri"/>
                <w:b/>
                <w:i w:val="0"/>
                <w:color w:val="0C2340"/>
                <w:sz w:val="32"/>
                <w:u w:val="none"/>
              </w:rPr>
              <w:t>$340,000</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At 80% LVR</w:t>
            </w:r>
          </w:p>
        </w:tc>
        <w:tc>
          <w:tcPr>
            <w:tcW w:type="dxa" w:w="2523"/>
            <w:tcBorders>
              <w:bottom w:val="single" w:sz="8" w:space="0" w:color="1D6FE0"/>
              <w:right w:val="nil"/>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alibri" w:hAnsi="Calibri" w:cs="Calibri" w:eastAsia="Calibri"/>
                <w:b/>
                <w:i w:val="0"/>
                <w:color w:val="0C2340"/>
                <w:sz w:val="32"/>
                <w:u w:val="none"/>
              </w:rPr>
              <w:t>63.4%</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Portfolio</w:t>
            </w:r>
          </w:p>
        </w:tc>
      </w:tr>
    </w:tbl>
    <w:p>
      <w:pPr>
        <w:keepNext w:val="0"/>
        <w:keepLines/>
        <w:pageBreakBefore w:val="0"/>
        <w:widowControl w:val="1"/>
        <w:spacing w:before="0" w:after="0"/>
      </w:pPr>
      <w:r>
        <w:br w:type="page"/>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shd w:val="clear" w:color="auto" w:fill="1D6FE0"/>
            <w:tcMar>
              <w:top w:w="60" w:type="dxa"/>
              <w:left w:w="150" w:type="dxa"/>
              <w:bottom w:w="60" w:type="dxa"/>
              <w:right w:w="150" w:type="dxa"/>
            </w:tcMar>
          </w:tcPr>
          <w:p>
            <w:pPr>
              <w:keepNext/>
              <w:keepLines/>
              <w:pageBreakBefore w:val="0"/>
              <w:widowControl w:val="1"/>
              <w:spacing w:before="0" w:after="0"/>
            </w:pPr>
            <w:r>
              <w:rPr>
                <w:rFonts w:ascii="Calibri" w:hAnsi="Calibri" w:cs="Calibri" w:eastAsia="Calibri"/>
                <w:b/>
                <w:i w:val="0"/>
                <w:caps w:val="1"/>
                <w:color w:val="FFFFFF"/>
                <w:spacing w:val="40"/>
                <w:sz w:val="16"/>
                <w:u w:val="none"/>
              </w:rPr>
              <w:t>02   Position today</w:t>
            </w:r>
          </w:p>
        </w:tc>
      </w:tr>
      <w:tr>
        <w:trPr>
          <w:cantSplit/>
        </w:trPr>
        <w:tc>
          <w:tcPr>
            <w:tcW w:type="dxa" w:w="10091"/>
            <w:tcBorders>
              <w:top w:val="nil"/>
              <w:left w:val="nil"/>
              <w:bottom w:val="single" w:sz="4" w:space="0" w:color="DCE3ED"/>
              <w:right w:val="nil"/>
            </w:tcBorders>
            <w:shd w:val="clear" w:color="auto" w:fill="F7F9FC"/>
            <w:tcMar>
              <w:top w:w="110" w:type="dxa"/>
              <w:left w:w="150" w:type="dxa"/>
              <w:bottom w:w="110" w:type="dxa"/>
              <w:right w:w="150" w:type="dxa"/>
            </w:tcMar>
          </w:tcPr>
          <w:p>
            <w:pPr>
              <w:keepNext/>
              <w:keepLines/>
              <w:pageBreakBefore w:val="0"/>
              <w:widowControl w:val="1"/>
              <w:spacing w:before="0" w:after="0"/>
            </w:pPr>
            <w:r>
              <w:rPr>
                <w:rFonts w:ascii="Calibri" w:hAnsi="Calibri" w:cs="Calibri" w:eastAsia="Calibri"/>
                <w:b/>
                <w:i w:val="0"/>
                <w:color w:val="0C2340"/>
                <w:sz w:val="25"/>
                <w:u w:val="none"/>
              </w:rPr>
              <w:t>Current structure</w:t>
            </w:r>
          </w:p>
        </w:tc>
      </w:tr>
    </w:tbl>
    <w:p>
      <w:pPr>
        <w:keepNext w:val="0"/>
        <w:keepLines/>
        <w:pageBreakBefore w:val="0"/>
        <w:widowControl w:val="1"/>
        <w:spacing w:before="0" w:after="0" w:line="18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32"/>
          <w:sz w:val="15"/>
          <w:u w:val="none"/>
        </w:rPr>
        <w:t>Current facilities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Current facilities"/>
        <w:tblDescription w:val="Columns: Facility, Security, Limit, Balance, Rate, Type, Expiry"/>
      </w:tblPr>
      <w:tblGrid>
        <w:gridCol w:w="1312"/>
        <w:gridCol w:w="2624"/>
        <w:gridCol w:w="1312"/>
        <w:gridCol w:w="1312"/>
        <w:gridCol w:w="1009"/>
        <w:gridCol w:w="1413"/>
        <w:gridCol w:w="1110"/>
      </w:tblGrid>
      <w:tr>
        <w:trPr>
          <w:cantSplit/>
          <w:trHeight w:val="420" w:hRule="atLeast"/>
          <w:tblHeader/>
        </w:trPr>
        <w:tc>
          <w:tcPr>
            <w:tcW w:type="dxa" w:w="1312"/>
            <w:tcBorders>
              <w:top w:val="nil"/>
              <w:left w:val="nil"/>
              <w:bottom w:val="single" w:sz="8" w:space="0" w:color="1D6FE0"/>
              <w:right w:val="nil"/>
            </w:tcBorders>
            <w:shd w:val="clear" w:color="auto" w:fill="1554AE"/>
            <w:tcMar>
              <w:top w:w="105" w:type="dxa"/>
              <w:left w:w="147" w:type="dxa"/>
              <w:bottom w:w="105" w:type="dxa"/>
              <w:right w:w="147"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Facility</w:t>
            </w:r>
          </w:p>
        </w:tc>
        <w:tc>
          <w:tcPr>
            <w:tcW w:type="dxa" w:w="2624"/>
            <w:tcBorders>
              <w:top w:val="nil"/>
              <w:left w:val="nil"/>
              <w:bottom w:val="single" w:sz="8" w:space="0" w:color="1D6FE0"/>
              <w:right w:val="nil"/>
            </w:tcBorders>
            <w:shd w:val="clear" w:color="auto" w:fill="1554AE"/>
            <w:tcMar>
              <w:top w:w="105" w:type="dxa"/>
              <w:left w:w="147" w:type="dxa"/>
              <w:bottom w:w="105" w:type="dxa"/>
              <w:right w:w="147"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Security</w:t>
            </w:r>
          </w:p>
        </w:tc>
        <w:tc>
          <w:tcPr>
            <w:tcW w:type="dxa" w:w="1312"/>
            <w:tcBorders>
              <w:top w:val="nil"/>
              <w:left w:val="nil"/>
              <w:bottom w:val="single" w:sz="8" w:space="0" w:color="1D6FE0"/>
              <w:right w:val="nil"/>
            </w:tcBorders>
            <w:shd w:val="clear" w:color="auto" w:fill="1554AE"/>
            <w:tcMar>
              <w:top w:w="105" w:type="dxa"/>
              <w:left w:w="147" w:type="dxa"/>
              <w:bottom w:w="105" w:type="dxa"/>
              <w:right w:w="147"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Limit</w:t>
            </w:r>
          </w:p>
        </w:tc>
        <w:tc>
          <w:tcPr>
            <w:tcW w:type="dxa" w:w="1312"/>
            <w:tcBorders>
              <w:top w:val="nil"/>
              <w:left w:val="nil"/>
              <w:bottom w:val="single" w:sz="8" w:space="0" w:color="1D6FE0"/>
              <w:right w:val="nil"/>
            </w:tcBorders>
            <w:shd w:val="clear" w:color="auto" w:fill="1554AE"/>
            <w:tcMar>
              <w:top w:w="105" w:type="dxa"/>
              <w:left w:w="147" w:type="dxa"/>
              <w:bottom w:w="105" w:type="dxa"/>
              <w:right w:w="147"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Balance</w:t>
            </w:r>
          </w:p>
        </w:tc>
        <w:tc>
          <w:tcPr>
            <w:tcW w:type="dxa" w:w="1009"/>
            <w:tcBorders>
              <w:top w:val="nil"/>
              <w:left w:val="nil"/>
              <w:bottom w:val="single" w:sz="8" w:space="0" w:color="1D6FE0"/>
              <w:right w:val="nil"/>
            </w:tcBorders>
            <w:shd w:val="clear" w:color="auto" w:fill="1554AE"/>
            <w:tcMar>
              <w:top w:w="105" w:type="dxa"/>
              <w:left w:w="147" w:type="dxa"/>
              <w:bottom w:w="105" w:type="dxa"/>
              <w:right w:w="147"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Rate</w:t>
            </w:r>
          </w:p>
        </w:tc>
        <w:tc>
          <w:tcPr>
            <w:tcW w:type="dxa" w:w="1413"/>
            <w:tcBorders>
              <w:top w:val="nil"/>
              <w:left w:val="nil"/>
              <w:bottom w:val="single" w:sz="8" w:space="0" w:color="1D6FE0"/>
              <w:right w:val="nil"/>
            </w:tcBorders>
            <w:shd w:val="clear" w:color="auto" w:fill="1554AE"/>
            <w:tcMar>
              <w:top w:w="105" w:type="dxa"/>
              <w:left w:w="147" w:type="dxa"/>
              <w:bottom w:w="105" w:type="dxa"/>
              <w:right w:w="147"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Type</w:t>
            </w:r>
          </w:p>
        </w:tc>
        <w:tc>
          <w:tcPr>
            <w:tcW w:type="dxa" w:w="1110"/>
            <w:tcBorders>
              <w:top w:val="nil"/>
              <w:left w:val="nil"/>
              <w:bottom w:val="single" w:sz="8" w:space="0" w:color="1D6FE0"/>
              <w:right w:val="nil"/>
            </w:tcBorders>
            <w:shd w:val="clear" w:color="auto" w:fill="1554AE"/>
            <w:tcMar>
              <w:top w:w="105" w:type="dxa"/>
              <w:left w:w="147" w:type="dxa"/>
              <w:bottom w:w="105" w:type="dxa"/>
              <w:right w:w="147"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Expiry</w:t>
            </w:r>
          </w:p>
        </w:tc>
      </w:tr>
      <w:tr>
        <w:trPr>
          <w:cantSplit/>
          <w:trHeight w:val="397" w:hRule="atLeast"/>
        </w:trPr>
        <w:tc>
          <w:tcPr>
            <w:tcW w:type="dxa" w:w="1312"/>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Facility 1</w:t>
            </w:r>
          </w:p>
        </w:tc>
        <w:tc>
          <w:tcPr>
            <w:tcW w:type="dxa" w:w="2624"/>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 Example St + 12 Sample Ave</w:t>
            </w:r>
          </w:p>
        </w:tc>
        <w:tc>
          <w:tcPr>
            <w:tcW w:type="dxa" w:w="1312"/>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$801,000</w:t>
            </w:r>
          </w:p>
        </w:tc>
        <w:tc>
          <w:tcPr>
            <w:tcW w:type="dxa" w:w="1312"/>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$789,400</w:t>
            </w:r>
          </w:p>
        </w:tc>
        <w:tc>
          <w:tcPr>
            <w:tcW w:type="dxa" w:w="1009"/>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6.44%</w:t>
            </w:r>
          </w:p>
        </w:tc>
        <w:tc>
          <w:tcPr>
            <w:tcW w:type="dxa" w:w="1413"/>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P&amp;I variable</w:t>
            </w:r>
          </w:p>
        </w:tc>
        <w:tc>
          <w:tcPr>
            <w:tcW w:type="dxa" w:w="1110"/>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w:t>
            </w:r>
          </w:p>
        </w:tc>
      </w:tr>
      <w:tr>
        <w:trPr>
          <w:cantSplit/>
          <w:trHeight w:val="397" w:hRule="atLeast"/>
        </w:trPr>
        <w:tc>
          <w:tcPr>
            <w:tcW w:type="dxa" w:w="1312"/>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Facility 2</w:t>
            </w:r>
          </w:p>
        </w:tc>
        <w:tc>
          <w:tcPr>
            <w:tcW w:type="dxa" w:w="2624"/>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21 Test Rd + 9 Demo Cl</w:t>
            </w:r>
          </w:p>
        </w:tc>
        <w:tc>
          <w:tcPr>
            <w:tcW w:type="dxa" w:w="1312"/>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$1,062,000</w:t>
            </w:r>
          </w:p>
        </w:tc>
        <w:tc>
          <w:tcPr>
            <w:tcW w:type="dxa" w:w="1312"/>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$1,057,600</w:t>
            </w:r>
          </w:p>
        </w:tc>
        <w:tc>
          <w:tcPr>
            <w:tcW w:type="dxa" w:w="1009"/>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6.58%</w:t>
            </w:r>
          </w:p>
        </w:tc>
        <w:tc>
          <w:tcPr>
            <w:tcW w:type="dxa" w:w="1413"/>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IO fixed</w:t>
            </w:r>
          </w:p>
        </w:tc>
        <w:tc>
          <w:tcPr>
            <w:tcW w:type="dxa" w:w="1110"/>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03/2027</w:t>
            </w:r>
          </w:p>
        </w:tc>
      </w:tr>
    </w:tbl>
    <w:p>
      <w:pPr>
        <w:keepNext w:val="0"/>
        <w:keepLines/>
        <w:pageBreakBefore w:val="0"/>
        <w:widowControl w:val="1"/>
        <w:spacing w:before="80" w:after="0" w:line="298" w:lineRule="auto"/>
      </w:pPr>
      <w:r>
        <w:rPr>
          <w:rFonts w:ascii="Calibri" w:hAnsi="Calibri" w:cs="Calibri" w:eastAsia="Calibri"/>
          <w:b w:val="0"/>
          <w:i/>
          <w:color w:val="8493A8"/>
          <w:sz w:val="14"/>
          <w:u w:val="none"/>
        </w:rPr>
        <w:t>Both facilities are cross-collateralised. No property can be released, sold or revalued independently under this structure.</w:t>
      </w:r>
    </w:p>
    <w:p>
      <w:pPr>
        <w:keepNext w:val="0"/>
        <w:keepLines/>
        <w:pageBreakBefore w:val="0"/>
        <w:widowControl w:val="1"/>
        <w:spacing w:before="0" w:after="0" w:line="126"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4" w:space="0" w:color="DCE3ED"/>
              <w:left w:val="single" w:sz="18" w:space="0" w:color="1D6FE0"/>
              <w:bottom w:val="single" w:sz="4" w:space="0" w:color="DCE3ED"/>
              <w:right w:val="single" w:sz="4" w:space="0" w:color="DCE3ED"/>
            </w:tcBorders>
            <w:shd w:val="clear" w:color="auto" w:fill="F7F9FC"/>
            <w:tcMar>
              <w:top w:w="189" w:type="dxa"/>
              <w:left w:w="220" w:type="dxa"/>
              <w:bottom w:w="189" w:type="dxa"/>
              <w:right w:w="220" w:type="dxa"/>
            </w:tcMar>
          </w:tcPr>
          <w:p>
            <w:pPr>
              <w:keepNext/>
              <w:keepLines/>
              <w:pageBreakBefore w:val="0"/>
              <w:widowControl w:val="1"/>
              <w:spacing w:before="0" w:after="80"/>
            </w:pPr>
            <w:r>
              <w:rPr>
                <w:rFonts w:ascii="Calibri" w:hAnsi="Calibri" w:cs="Calibri" w:eastAsia="Calibri"/>
                <w:b/>
                <w:i w:val="0"/>
                <w:caps w:val="1"/>
                <w:color w:val="1D6FE0"/>
                <w:spacing w:val="32"/>
                <w:sz w:val="15"/>
                <w:u w:val="none"/>
              </w:rPr>
              <w:t>Goals &amp; constraints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297"/>
              <w:gridCol w:w="7275"/>
            </w:tblGrid>
            <w:tr>
              <w:trPr>
                <w:cantSplit/>
                <w:trHeight w:val="431" w:hRule="atLeast"/>
              </w:trPr>
              <w:tc>
                <w:tcPr>
                  <w:tcW w:type="dxa" w:w="2297"/>
                  <w:tcBorders>
                    <w:top w:val="single" w:sz="4" w:space="0" w:color="FFFFFF"/>
                    <w:left w:val="nil"/>
                    <w:bottom w:val="single" w:sz="4" w:space="0" w:color="FFFFFF"/>
                    <w:right w:val="nil"/>
                  </w:tcBorders>
                  <w:shd w:val="clear" w:color="auto" w:fill="EDF1F7"/>
                  <w:tcMar>
                    <w:top w:w="105" w:type="dxa"/>
                    <w:left w:w="147" w:type="dxa"/>
                    <w:bottom w:w="105" w:type="dxa"/>
                    <w:right w:w="147"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Objective</w:t>
                  </w:r>
                </w:p>
              </w:tc>
              <w:tc>
                <w:tcPr>
                  <w:tcW w:type="dxa" w:w="7275"/>
                  <w:tcBorders>
                    <w:top w:val="single" w:sz="4" w:space="0" w:color="FFFFFF"/>
                    <w:left w:val="nil"/>
                    <w:bottom w:val="single" w:sz="4" w:space="0" w:color="DCE3ED"/>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Acquire two further investment properties over 24 months</w:t>
                  </w:r>
                </w:p>
              </w:tc>
            </w:tr>
            <w:tr>
              <w:trPr>
                <w:cantSplit/>
                <w:trHeight w:val="431" w:hRule="atLeast"/>
              </w:trPr>
              <w:tc>
                <w:tcPr>
                  <w:tcW w:type="dxa" w:w="2297"/>
                  <w:tcBorders>
                    <w:top w:val="single" w:sz="4" w:space="0" w:color="FFFFFF"/>
                    <w:left w:val="nil"/>
                    <w:bottom w:val="single" w:sz="4" w:space="0" w:color="FFFFFF"/>
                    <w:right w:val="nil"/>
                  </w:tcBorders>
                  <w:shd w:val="clear" w:color="auto" w:fill="EDF1F7"/>
                  <w:tcMar>
                    <w:top w:w="105" w:type="dxa"/>
                    <w:left w:w="147" w:type="dxa"/>
                    <w:bottom w:w="105" w:type="dxa"/>
                    <w:right w:w="147"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Constraint</w:t>
                  </w:r>
                </w:p>
              </w:tc>
              <w:tc>
                <w:tcPr>
                  <w:tcW w:type="dxa" w:w="7275"/>
                  <w:tcBorders>
                    <w:top w:val="single" w:sz="4" w:space="0" w:color="FFFFFF"/>
                    <w:left w:val="nil"/>
                    <w:bottom w:val="single" w:sz="4" w:space="0" w:color="DCE3ED"/>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Total portfolio LVR must remain below 70%</w:t>
                  </w:r>
                </w:p>
              </w:tc>
            </w:tr>
            <w:tr>
              <w:trPr>
                <w:cantSplit/>
                <w:trHeight w:val="431" w:hRule="atLeast"/>
              </w:trPr>
              <w:tc>
                <w:tcPr>
                  <w:tcW w:type="dxa" w:w="2297"/>
                  <w:tcBorders>
                    <w:top w:val="single" w:sz="4" w:space="0" w:color="FFFFFF"/>
                    <w:left w:val="nil"/>
                    <w:bottom w:val="single" w:sz="4" w:space="0" w:color="FFFFFF"/>
                    <w:right w:val="nil"/>
                  </w:tcBorders>
                  <w:shd w:val="clear" w:color="auto" w:fill="EDF1F7"/>
                  <w:tcMar>
                    <w:top w:w="105" w:type="dxa"/>
                    <w:left w:w="147" w:type="dxa"/>
                    <w:bottom w:w="105" w:type="dxa"/>
                    <w:right w:w="147"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Constraint</w:t>
                  </w:r>
                </w:p>
              </w:tc>
              <w:tc>
                <w:tcPr>
                  <w:tcW w:type="dxa" w:w="7275"/>
                  <w:tcBorders>
                    <w:top w:val="single" w:sz="4" w:space="0" w:color="FFFFFF"/>
                    <w:left w:val="nil"/>
                    <w:bottom w:val="single" w:sz="4" w:space="0" w:color="DCE3ED"/>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No additional cash contribution available</w:t>
                  </w:r>
                </w:p>
              </w:tc>
            </w:tr>
            <w:tr>
              <w:trPr>
                <w:cantSplit/>
                <w:trHeight w:val="431" w:hRule="atLeast"/>
              </w:trPr>
              <w:tc>
                <w:tcPr>
                  <w:tcW w:type="dxa" w:w="2297"/>
                  <w:tcBorders>
                    <w:top w:val="single" w:sz="4" w:space="0" w:color="FFFFFF"/>
                    <w:left w:val="nil"/>
                    <w:bottom w:val="single" w:sz="4" w:space="0" w:color="FFFFFF"/>
                    <w:right w:val="nil"/>
                  </w:tcBorders>
                  <w:shd w:val="clear" w:color="auto" w:fill="EDF1F7"/>
                  <w:tcMar>
                    <w:top w:w="105" w:type="dxa"/>
                    <w:left w:w="147" w:type="dxa"/>
                    <w:bottom w:w="105" w:type="dxa"/>
                    <w:right w:w="147"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Preference</w:t>
                  </w:r>
                </w:p>
              </w:tc>
              <w:tc>
                <w:tcPr>
                  <w:tcW w:type="dxa" w:w="7275"/>
                  <w:tcBorders>
                    <w:top w:val="single" w:sz="4" w:space="0" w:color="FFFFFF"/>
                    <w:left w:val="nil"/>
                    <w:bottom w:val="single" w:sz="4" w:space="0" w:color="DCE3ED"/>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Reduce exposure to a single lender</w:t>
                  </w:r>
                </w:p>
              </w:tc>
            </w:tr>
          </w:tbl>
          <w:p/>
        </w:tc>
      </w:tr>
    </w:tbl>
    <w:p>
      <w:pPr>
        <w:keepNext w:val="0"/>
        <w:keepLines/>
        <w:pageBreakBefore w:val="0"/>
        <w:widowControl w:val="1"/>
        <w:spacing w:before="0" w:after="0"/>
      </w:pPr>
      <w:r>
        <w:br w:type="page"/>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shd w:val="clear" w:color="auto" w:fill="1D6FE0"/>
            <w:tcMar>
              <w:top w:w="60" w:type="dxa"/>
              <w:left w:w="150" w:type="dxa"/>
              <w:bottom w:w="60" w:type="dxa"/>
              <w:right w:w="150" w:type="dxa"/>
            </w:tcMar>
          </w:tcPr>
          <w:p>
            <w:pPr>
              <w:keepNext/>
              <w:keepLines/>
              <w:pageBreakBefore w:val="0"/>
              <w:widowControl w:val="1"/>
              <w:spacing w:before="0" w:after="0"/>
            </w:pPr>
            <w:r>
              <w:rPr>
                <w:rFonts w:ascii="Calibri" w:hAnsi="Calibri" w:cs="Calibri" w:eastAsia="Calibri"/>
                <w:b/>
                <w:i w:val="0"/>
                <w:caps w:val="1"/>
                <w:color w:val="FFFFFF"/>
                <w:spacing w:val="40"/>
                <w:sz w:val="16"/>
                <w:u w:val="none"/>
              </w:rPr>
              <w:t>03   Target structure</w:t>
            </w:r>
          </w:p>
        </w:tc>
      </w:tr>
      <w:tr>
        <w:trPr>
          <w:cantSplit/>
        </w:trPr>
        <w:tc>
          <w:tcPr>
            <w:tcW w:type="dxa" w:w="10091"/>
            <w:tcBorders>
              <w:top w:val="nil"/>
              <w:left w:val="nil"/>
              <w:bottom w:val="single" w:sz="4" w:space="0" w:color="DCE3ED"/>
              <w:right w:val="nil"/>
            </w:tcBorders>
            <w:shd w:val="clear" w:color="auto" w:fill="F7F9FC"/>
            <w:tcMar>
              <w:top w:w="110" w:type="dxa"/>
              <w:left w:w="150" w:type="dxa"/>
              <w:bottom w:w="110" w:type="dxa"/>
              <w:right w:w="150" w:type="dxa"/>
            </w:tcMar>
          </w:tcPr>
          <w:p>
            <w:pPr>
              <w:keepNext/>
              <w:keepLines/>
              <w:pageBreakBefore w:val="0"/>
              <w:widowControl w:val="1"/>
              <w:spacing w:before="0" w:after="0"/>
            </w:pPr>
            <w:r>
              <w:rPr>
                <w:rFonts w:ascii="Calibri" w:hAnsi="Calibri" w:cs="Calibri" w:eastAsia="Calibri"/>
                <w:b/>
                <w:i w:val="0"/>
                <w:color w:val="0C2340"/>
                <w:sz w:val="25"/>
                <w:u w:val="none"/>
              </w:rPr>
              <w:t>Where we are going</w:t>
            </w:r>
          </w:p>
        </w:tc>
      </w:tr>
    </w:tbl>
    <w:p>
      <w:pPr>
        <w:keepNext w:val="0"/>
        <w:keepLines/>
        <w:pageBreakBefore w:val="0"/>
        <w:widowControl w:val="1"/>
        <w:spacing w:before="0" w:after="0" w:line="18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32"/>
          <w:sz w:val="15"/>
          <w:u w:val="none"/>
        </w:rPr>
        <w:t>Proposed facilities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Proposed facilities"/>
        <w:tblDescription w:val="Columns: Facility, Security, Limit, Purpose, Lender, Type"/>
      </w:tblPr>
      <w:tblGrid>
        <w:gridCol w:w="1168"/>
        <w:gridCol w:w="2124"/>
        <w:gridCol w:w="1381"/>
        <w:gridCol w:w="2549"/>
        <w:gridCol w:w="1381"/>
        <w:gridCol w:w="1487"/>
      </w:tblGrid>
      <w:tr>
        <w:trPr>
          <w:cantSplit/>
          <w:trHeight w:val="420" w:hRule="atLeast"/>
          <w:tblHeader/>
        </w:trPr>
        <w:tc>
          <w:tcPr>
            <w:tcW w:type="dxa" w:w="1168"/>
            <w:tcBorders>
              <w:top w:val="nil"/>
              <w:left w:val="nil"/>
              <w:bottom w:val="single" w:sz="8" w:space="0" w:color="1D6FE0"/>
              <w:right w:val="nil"/>
            </w:tcBorders>
            <w:shd w:val="clear" w:color="auto" w:fill="1554AE"/>
            <w:tcMar>
              <w:top w:w="105" w:type="dxa"/>
              <w:left w:w="147" w:type="dxa"/>
              <w:bottom w:w="105" w:type="dxa"/>
              <w:right w:w="147"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Facility</w:t>
            </w:r>
          </w:p>
        </w:tc>
        <w:tc>
          <w:tcPr>
            <w:tcW w:type="dxa" w:w="2124"/>
            <w:tcBorders>
              <w:top w:val="nil"/>
              <w:left w:val="nil"/>
              <w:bottom w:val="single" w:sz="8" w:space="0" w:color="1D6FE0"/>
              <w:right w:val="nil"/>
            </w:tcBorders>
            <w:shd w:val="clear" w:color="auto" w:fill="1554AE"/>
            <w:tcMar>
              <w:top w:w="105" w:type="dxa"/>
              <w:left w:w="147" w:type="dxa"/>
              <w:bottom w:w="105" w:type="dxa"/>
              <w:right w:w="147"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Security</w:t>
            </w:r>
          </w:p>
        </w:tc>
        <w:tc>
          <w:tcPr>
            <w:tcW w:type="dxa" w:w="1381"/>
            <w:tcBorders>
              <w:top w:val="nil"/>
              <w:left w:val="nil"/>
              <w:bottom w:val="single" w:sz="8" w:space="0" w:color="1D6FE0"/>
              <w:right w:val="nil"/>
            </w:tcBorders>
            <w:shd w:val="clear" w:color="auto" w:fill="1554AE"/>
            <w:tcMar>
              <w:top w:w="105" w:type="dxa"/>
              <w:left w:w="147" w:type="dxa"/>
              <w:bottom w:w="105" w:type="dxa"/>
              <w:right w:w="147"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Limit</w:t>
            </w:r>
          </w:p>
        </w:tc>
        <w:tc>
          <w:tcPr>
            <w:tcW w:type="dxa" w:w="2549"/>
            <w:tcBorders>
              <w:top w:val="nil"/>
              <w:left w:val="nil"/>
              <w:bottom w:val="single" w:sz="8" w:space="0" w:color="1D6FE0"/>
              <w:right w:val="nil"/>
            </w:tcBorders>
            <w:shd w:val="clear" w:color="auto" w:fill="1554AE"/>
            <w:tcMar>
              <w:top w:w="105" w:type="dxa"/>
              <w:left w:w="147" w:type="dxa"/>
              <w:bottom w:w="105" w:type="dxa"/>
              <w:right w:w="147"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Purpose</w:t>
            </w:r>
          </w:p>
        </w:tc>
        <w:tc>
          <w:tcPr>
            <w:tcW w:type="dxa" w:w="1381"/>
            <w:tcBorders>
              <w:top w:val="nil"/>
              <w:left w:val="nil"/>
              <w:bottom w:val="single" w:sz="8" w:space="0" w:color="1D6FE0"/>
              <w:right w:val="nil"/>
            </w:tcBorders>
            <w:shd w:val="clear" w:color="auto" w:fill="1554AE"/>
            <w:tcMar>
              <w:top w:w="105" w:type="dxa"/>
              <w:left w:w="147" w:type="dxa"/>
              <w:bottom w:w="105" w:type="dxa"/>
              <w:right w:w="147"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Lender</w:t>
            </w:r>
          </w:p>
        </w:tc>
        <w:tc>
          <w:tcPr>
            <w:tcW w:type="dxa" w:w="1487"/>
            <w:tcBorders>
              <w:top w:val="nil"/>
              <w:left w:val="nil"/>
              <w:bottom w:val="single" w:sz="8" w:space="0" w:color="1D6FE0"/>
              <w:right w:val="nil"/>
            </w:tcBorders>
            <w:shd w:val="clear" w:color="auto" w:fill="1554AE"/>
            <w:tcMar>
              <w:top w:w="105" w:type="dxa"/>
              <w:left w:w="147" w:type="dxa"/>
              <w:bottom w:w="105" w:type="dxa"/>
              <w:right w:w="147"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Type</w:t>
            </w:r>
          </w:p>
        </w:tc>
      </w:tr>
      <w:tr>
        <w:trPr>
          <w:cantSplit/>
          <w:trHeight w:val="397" w:hRule="atLeast"/>
        </w:trPr>
        <w:tc>
          <w:tcPr>
            <w:tcW w:type="dxa" w:w="1168"/>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A1</w:t>
            </w:r>
          </w:p>
        </w:tc>
        <w:tc>
          <w:tcPr>
            <w:tcW w:type="dxa" w:w="2124"/>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 Example St</w:t>
            </w:r>
          </w:p>
        </w:tc>
        <w:tc>
          <w:tcPr>
            <w:tcW w:type="dxa" w:w="1381"/>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$412,000</w:t>
            </w:r>
          </w:p>
        </w:tc>
        <w:tc>
          <w:tcPr>
            <w:tcW w:type="dxa" w:w="2549"/>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Standalone investment</w:t>
            </w:r>
          </w:p>
        </w:tc>
        <w:tc>
          <w:tcPr>
            <w:tcW w:type="dxa" w:w="1381"/>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Lender A</w:t>
            </w:r>
          </w:p>
        </w:tc>
        <w:tc>
          <w:tcPr>
            <w:tcW w:type="dxa" w:w="1487"/>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IO variable</w:t>
            </w:r>
          </w:p>
        </w:tc>
      </w:tr>
      <w:tr>
        <w:trPr>
          <w:cantSplit/>
          <w:trHeight w:val="397" w:hRule="atLeast"/>
        </w:trPr>
        <w:tc>
          <w:tcPr>
            <w:tcW w:type="dxa" w:w="1168"/>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A2</w:t>
            </w:r>
          </w:p>
        </w:tc>
        <w:tc>
          <w:tcPr>
            <w:tcW w:type="dxa" w:w="2124"/>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12 Sample Ave</w:t>
            </w:r>
          </w:p>
        </w:tc>
        <w:tc>
          <w:tcPr>
            <w:tcW w:type="dxa" w:w="1381"/>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$389,000</w:t>
            </w:r>
          </w:p>
        </w:tc>
        <w:tc>
          <w:tcPr>
            <w:tcW w:type="dxa" w:w="2549"/>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Standalone investment</w:t>
            </w:r>
          </w:p>
        </w:tc>
        <w:tc>
          <w:tcPr>
            <w:tcW w:type="dxa" w:w="1381"/>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Lender A</w:t>
            </w:r>
          </w:p>
        </w:tc>
        <w:tc>
          <w:tcPr>
            <w:tcW w:type="dxa" w:w="1487"/>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IO variable</w:t>
            </w:r>
          </w:p>
        </w:tc>
      </w:tr>
      <w:tr>
        <w:trPr>
          <w:cantSplit/>
          <w:trHeight w:val="397" w:hRule="atLeast"/>
        </w:trPr>
        <w:tc>
          <w:tcPr>
            <w:tcW w:type="dxa" w:w="1168"/>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B1</w:t>
            </w:r>
          </w:p>
        </w:tc>
        <w:tc>
          <w:tcPr>
            <w:tcW w:type="dxa" w:w="2124"/>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21 Test Rd</w:t>
            </w:r>
          </w:p>
        </w:tc>
        <w:tc>
          <w:tcPr>
            <w:tcW w:type="dxa" w:w="1381"/>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$524,000</w:t>
            </w:r>
          </w:p>
        </w:tc>
        <w:tc>
          <w:tcPr>
            <w:tcW w:type="dxa" w:w="2549"/>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Standalone investment</w:t>
            </w:r>
          </w:p>
        </w:tc>
        <w:tc>
          <w:tcPr>
            <w:tcW w:type="dxa" w:w="1381"/>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Lender B</w:t>
            </w:r>
          </w:p>
        </w:tc>
        <w:tc>
          <w:tcPr>
            <w:tcW w:type="dxa" w:w="1487"/>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P&amp;I variable</w:t>
            </w:r>
          </w:p>
        </w:tc>
      </w:tr>
      <w:tr>
        <w:trPr>
          <w:cantSplit/>
          <w:trHeight w:val="397" w:hRule="atLeast"/>
        </w:trPr>
        <w:tc>
          <w:tcPr>
            <w:tcW w:type="dxa" w:w="1168"/>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B2</w:t>
            </w:r>
          </w:p>
        </w:tc>
        <w:tc>
          <w:tcPr>
            <w:tcW w:type="dxa" w:w="2124"/>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9 Demo Close</w:t>
            </w:r>
          </w:p>
        </w:tc>
        <w:tc>
          <w:tcPr>
            <w:tcW w:type="dxa" w:w="1381"/>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$522,000</w:t>
            </w:r>
          </w:p>
        </w:tc>
        <w:tc>
          <w:tcPr>
            <w:tcW w:type="dxa" w:w="2549"/>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Standalone investment</w:t>
            </w:r>
          </w:p>
        </w:tc>
        <w:tc>
          <w:tcPr>
            <w:tcW w:type="dxa" w:w="1381"/>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Lender B</w:t>
            </w:r>
          </w:p>
        </w:tc>
        <w:tc>
          <w:tcPr>
            <w:tcW w:type="dxa" w:w="1487"/>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P&amp;I variable</w:t>
            </w:r>
          </w:p>
        </w:tc>
      </w:tr>
      <w:tr>
        <w:trPr>
          <w:cantSplit/>
          <w:trHeight w:val="397" w:hRule="atLeast"/>
        </w:trPr>
        <w:tc>
          <w:tcPr>
            <w:tcW w:type="dxa" w:w="1168"/>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i w:val="0"/>
                <w:color w:val="10192A"/>
                <w:sz w:val="17"/>
                <w:u w:val="none"/>
              </w:rPr>
              <w:t>B3</w:t>
            </w:r>
          </w:p>
        </w:tc>
        <w:tc>
          <w:tcPr>
            <w:tcW w:type="dxa" w:w="2124"/>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21 Test Rd (2nd)</w:t>
            </w:r>
          </w:p>
        </w:tc>
        <w:tc>
          <w:tcPr>
            <w:tcW w:type="dxa" w:w="1381"/>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jc w:val="right"/>
            </w:pPr>
            <w:r>
              <w:rPr>
                <w:rFonts w:ascii="Calibri" w:hAnsi="Calibri" w:cs="Calibri" w:eastAsia="Calibri"/>
                <w:b w:val="0"/>
                <w:i w:val="0"/>
                <w:color w:val="10192A"/>
                <w:sz w:val="17"/>
                <w:u w:val="none"/>
              </w:rPr>
              <w:t>$340,000</w:t>
            </w:r>
          </w:p>
        </w:tc>
        <w:tc>
          <w:tcPr>
            <w:tcW w:type="dxa" w:w="2549"/>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Equity release — deposits</w:t>
            </w:r>
          </w:p>
        </w:tc>
        <w:tc>
          <w:tcPr>
            <w:tcW w:type="dxa" w:w="1381"/>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Lender B</w:t>
            </w:r>
          </w:p>
        </w:tc>
        <w:tc>
          <w:tcPr>
            <w:tcW w:type="dxa" w:w="1487"/>
            <w:tcBorders>
              <w:top w:val="nil"/>
              <w:left w:val="nil"/>
              <w:bottom w:val="single" w:sz="4" w:space="0" w:color="DCE3ED"/>
              <w:right w:val="nil"/>
            </w:tcBorders>
            <w:shd w:val="clear" w:color="auto" w:fill="F7F9FC"/>
            <w:tcMar>
              <w:top w:w="105" w:type="dxa"/>
              <w:left w:w="147" w:type="dxa"/>
              <w:bottom w:w="105" w:type="dxa"/>
              <w:right w:w="147"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IO variable</w:t>
            </w:r>
          </w:p>
        </w:tc>
      </w:tr>
    </w:tbl>
    <w:p>
      <w:pPr>
        <w:keepNext w:val="0"/>
        <w:keepLines/>
        <w:pageBreakBefore w:val="0"/>
        <w:widowControl w:val="1"/>
        <w:spacing w:before="0" w:after="0" w:line="126"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32"/>
          <w:sz w:val="15"/>
          <w:u w:val="none"/>
        </w:rPr>
        <w:t>Current versus target</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Current versus target"/>
        <w:tblDescription w:val="Compares: Today, Target, Change"/>
      </w:tblPr>
      <w:tblGrid>
        <w:gridCol w:w="2624"/>
        <w:gridCol w:w="2489"/>
        <w:gridCol w:w="2489"/>
        <w:gridCol w:w="2489"/>
      </w:tblGrid>
      <w:tr>
        <w:trPr>
          <w:cantSplit/>
          <w:trHeight w:val="510" w:hRule="atLeast"/>
          <w:tblHeader/>
        </w:trPr>
        <w:tc>
          <w:tcPr>
            <w:tcW w:type="dxa" w:w="2624"/>
            <w:tcBorders>
              <w:top w:val="nil"/>
              <w:left w:val="nil"/>
              <w:bottom w:val="single" w:sz="8" w:space="0" w:color="1D6FE0"/>
              <w:right w:val="single" w:sz="16" w:space="0" w:color="FFFFFF"/>
            </w:tcBorders>
            <w:shd w:val="clear" w:color="auto" w:fill="1554AE"/>
            <w:tcMar>
              <w:top w:w="105" w:type="dxa"/>
              <w:left w:w="147" w:type="dxa"/>
              <w:bottom w:w="105" w:type="dxa"/>
              <w:right w:w="147" w:type="dxa"/>
            </w:tcMar>
            <w:vAlign w:val="center"/>
          </w:tcPr>
          <w:p>
            <w:pPr>
              <w:keepNext w:val="0"/>
              <w:keepLines/>
              <w:pageBreakBefore w:val="0"/>
              <w:widowControl w:val="1"/>
              <w:spacing w:before="0" w:after="0" w:line="274" w:lineRule="auto"/>
            </w:pPr>
          </w:p>
        </w:tc>
        <w:tc>
          <w:tcPr>
            <w:tcW w:type="dxa" w:w="2489"/>
            <w:tcBorders>
              <w:top w:val="nil"/>
              <w:left w:val="nil"/>
              <w:bottom w:val="single" w:sz="8" w:space="0" w:color="1D6FE0"/>
              <w:right w:val="single" w:sz="16" w:space="0" w:color="FFFFFF"/>
            </w:tcBorders>
            <w:shd w:val="clear" w:color="auto" w:fill="1554AE"/>
            <w:tcMar>
              <w:top w:w="105" w:type="dxa"/>
              <w:left w:w="147" w:type="dxa"/>
              <w:bottom w:w="105" w:type="dxa"/>
              <w:right w:w="147" w:type="dxa"/>
            </w:tcMar>
            <w:vAlign w:val="center"/>
          </w:tcPr>
          <w:p>
            <w:pPr>
              <w:keepNext w:val="0"/>
              <w:keepLines/>
              <w:pageBreakBefore w:val="0"/>
              <w:widowControl w:val="1"/>
              <w:spacing w:before="0" w:after="0" w:line="274" w:lineRule="auto"/>
              <w:jc w:val="center"/>
            </w:pPr>
            <w:r>
              <w:rPr>
                <w:rFonts w:ascii="Calibri" w:hAnsi="Calibri" w:cs="Calibri" w:eastAsia="Calibri"/>
                <w:b/>
                <w:i w:val="0"/>
                <w:caps w:val="1"/>
                <w:color w:val="FFFFFF"/>
                <w:spacing w:val="20"/>
                <w:sz w:val="16"/>
                <w:u w:val="none"/>
              </w:rPr>
              <w:t>Today</w:t>
            </w:r>
          </w:p>
        </w:tc>
        <w:tc>
          <w:tcPr>
            <w:tcW w:type="dxa" w:w="2489"/>
            <w:tcBorders>
              <w:top w:val="nil"/>
              <w:left w:val="nil"/>
              <w:bottom w:val="single" w:sz="8" w:space="0" w:color="1D6FE0"/>
              <w:right w:val="single" w:sz="16" w:space="0" w:color="FFFFFF"/>
            </w:tcBorders>
            <w:shd w:val="clear" w:color="auto" w:fill="1D6FE0"/>
            <w:tcMar>
              <w:top w:w="105" w:type="dxa"/>
              <w:left w:w="147" w:type="dxa"/>
              <w:bottom w:w="105" w:type="dxa"/>
              <w:right w:w="147" w:type="dxa"/>
            </w:tcMar>
            <w:vAlign w:val="center"/>
          </w:tcPr>
          <w:p>
            <w:pPr>
              <w:keepNext w:val="0"/>
              <w:keepLines/>
              <w:pageBreakBefore w:val="0"/>
              <w:widowControl w:val="1"/>
              <w:spacing w:before="0" w:after="0" w:line="274" w:lineRule="auto"/>
              <w:jc w:val="center"/>
            </w:pPr>
            <w:r>
              <w:rPr>
                <w:rFonts w:ascii="Calibri" w:hAnsi="Calibri" w:cs="Calibri" w:eastAsia="Calibri"/>
                <w:b/>
                <w:i w:val="0"/>
                <w:caps w:val="1"/>
                <w:color w:val="FFFFFF"/>
                <w:spacing w:val="20"/>
                <w:sz w:val="16"/>
                <w:u w:val="none"/>
              </w:rPr>
              <w:t>Target</w:t>
            </w:r>
          </w:p>
        </w:tc>
        <w:tc>
          <w:tcPr>
            <w:tcW w:type="dxa" w:w="2489"/>
            <w:tcBorders>
              <w:top w:val="nil"/>
              <w:left w:val="nil"/>
              <w:bottom w:val="single" w:sz="8" w:space="0" w:color="1D6FE0"/>
              <w:right w:val="nil"/>
            </w:tcBorders>
            <w:shd w:val="clear" w:color="auto" w:fill="1554AE"/>
            <w:tcMar>
              <w:top w:w="105" w:type="dxa"/>
              <w:left w:w="147" w:type="dxa"/>
              <w:bottom w:w="105" w:type="dxa"/>
              <w:right w:w="147" w:type="dxa"/>
            </w:tcMar>
            <w:vAlign w:val="center"/>
          </w:tcPr>
          <w:p>
            <w:pPr>
              <w:keepNext w:val="0"/>
              <w:keepLines/>
              <w:pageBreakBefore w:val="0"/>
              <w:widowControl w:val="1"/>
              <w:spacing w:before="0" w:after="0" w:line="274" w:lineRule="auto"/>
              <w:jc w:val="center"/>
            </w:pPr>
            <w:r>
              <w:rPr>
                <w:rFonts w:ascii="Calibri" w:hAnsi="Calibri" w:cs="Calibri" w:eastAsia="Calibri"/>
                <w:b/>
                <w:i w:val="0"/>
                <w:caps w:val="1"/>
                <w:color w:val="FFFFFF"/>
                <w:spacing w:val="20"/>
                <w:sz w:val="16"/>
                <w:u w:val="none"/>
              </w:rPr>
              <w:t>Change</w:t>
            </w:r>
          </w:p>
        </w:tc>
      </w:tr>
      <w:tr>
        <w:trPr>
          <w:cantSplit/>
        </w:trPr>
        <w:tc>
          <w:tcPr>
            <w:tcW w:type="dxa" w:w="2624"/>
            <w:tcBorders>
              <w:top w:val="nil"/>
              <w:left w:val="nil"/>
              <w:bottom w:val="single" w:sz="4" w:space="0" w:color="DCE3ED"/>
              <w:right w:val="nil"/>
            </w:tcBorders>
            <w:shd w:val="clear" w:color="auto" w:fill="EDF1F7"/>
            <w:tcMar>
              <w:top w:w="105" w:type="dxa"/>
              <w:left w:w="147" w:type="dxa"/>
              <w:bottom w:w="105" w:type="dxa"/>
              <w:right w:w="147"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Facilities</w:t>
            </w:r>
          </w:p>
        </w:tc>
        <w:tc>
          <w:tcPr>
            <w:tcW w:type="dxa" w:w="2489"/>
            <w:tcBorders>
              <w:top w:val="nil"/>
              <w:left w:val="nil"/>
              <w:bottom w:val="single" w:sz="4" w:space="0" w:color="DCE3ED"/>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2</w:t>
            </w:r>
          </w:p>
        </w:tc>
        <w:tc>
          <w:tcPr>
            <w:tcW w:type="dxa" w:w="2489"/>
            <w:tcBorders>
              <w:top w:val="nil"/>
              <w:left w:val="nil"/>
              <w:bottom w:val="single" w:sz="4" w:space="0" w:color="DCE3ED"/>
              <w:right w:val="nil"/>
            </w:tcBorders>
            <w:shd w:val="clear" w:color="auto" w:fill="F2F7FE"/>
            <w:tcMar>
              <w:top w:w="105" w:type="dxa"/>
              <w:left w:w="147" w:type="dxa"/>
              <w:bottom w:w="105" w:type="dxa"/>
              <w:right w:w="147"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5</w:t>
            </w:r>
          </w:p>
        </w:tc>
        <w:tc>
          <w:tcPr>
            <w:tcW w:type="dxa" w:w="2489"/>
            <w:tcBorders>
              <w:top w:val="nil"/>
              <w:left w:val="nil"/>
              <w:bottom w:val="single" w:sz="4" w:space="0" w:color="DCE3ED"/>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+3</w:t>
            </w:r>
          </w:p>
        </w:tc>
      </w:tr>
      <w:tr>
        <w:trPr>
          <w:cantSplit/>
        </w:trPr>
        <w:tc>
          <w:tcPr>
            <w:tcW w:type="dxa" w:w="2624"/>
            <w:tcBorders>
              <w:top w:val="nil"/>
              <w:left w:val="nil"/>
              <w:bottom w:val="single" w:sz="4" w:space="0" w:color="DCE3ED"/>
              <w:right w:val="nil"/>
            </w:tcBorders>
            <w:shd w:val="clear" w:color="auto" w:fill="EDF1F7"/>
            <w:tcMar>
              <w:top w:w="105" w:type="dxa"/>
              <w:left w:w="147" w:type="dxa"/>
              <w:bottom w:w="105" w:type="dxa"/>
              <w:right w:w="147"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Lenders</w:t>
            </w:r>
          </w:p>
        </w:tc>
        <w:tc>
          <w:tcPr>
            <w:tcW w:type="dxa" w:w="2489"/>
            <w:tcBorders>
              <w:top w:val="nil"/>
              <w:left w:val="nil"/>
              <w:bottom w:val="single" w:sz="4" w:space="0" w:color="DCE3ED"/>
              <w:right w:val="nil"/>
            </w:tcBorders>
            <w:shd w:val="clear" w:color="auto" w:fill="F7F9FC"/>
            <w:tcMar>
              <w:top w:w="105" w:type="dxa"/>
              <w:left w:w="147" w:type="dxa"/>
              <w:bottom w:w="105" w:type="dxa"/>
              <w:right w:w="147"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1</w:t>
            </w:r>
          </w:p>
        </w:tc>
        <w:tc>
          <w:tcPr>
            <w:tcW w:type="dxa" w:w="2489"/>
            <w:tcBorders>
              <w:top w:val="nil"/>
              <w:left w:val="nil"/>
              <w:bottom w:val="single" w:sz="4" w:space="0" w:color="DCE3ED"/>
              <w:right w:val="nil"/>
            </w:tcBorders>
            <w:shd w:val="clear" w:color="auto" w:fill="F2F7FE"/>
            <w:tcMar>
              <w:top w:w="105" w:type="dxa"/>
              <w:left w:w="147" w:type="dxa"/>
              <w:bottom w:w="105" w:type="dxa"/>
              <w:right w:w="147"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2</w:t>
            </w:r>
          </w:p>
        </w:tc>
        <w:tc>
          <w:tcPr>
            <w:tcW w:type="dxa" w:w="2489"/>
            <w:tcBorders>
              <w:top w:val="nil"/>
              <w:left w:val="nil"/>
              <w:bottom w:val="single" w:sz="4" w:space="0" w:color="DCE3ED"/>
              <w:right w:val="nil"/>
            </w:tcBorders>
            <w:shd w:val="clear" w:color="auto" w:fill="F7F9FC"/>
            <w:tcMar>
              <w:top w:w="105" w:type="dxa"/>
              <w:left w:w="147" w:type="dxa"/>
              <w:bottom w:w="105" w:type="dxa"/>
              <w:right w:w="147"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+1</w:t>
            </w:r>
          </w:p>
        </w:tc>
      </w:tr>
      <w:tr>
        <w:trPr>
          <w:cantSplit/>
        </w:trPr>
        <w:tc>
          <w:tcPr>
            <w:tcW w:type="dxa" w:w="2624"/>
            <w:tcBorders>
              <w:top w:val="nil"/>
              <w:left w:val="nil"/>
              <w:bottom w:val="single" w:sz="4" w:space="0" w:color="DCE3ED"/>
              <w:right w:val="nil"/>
            </w:tcBorders>
            <w:shd w:val="clear" w:color="auto" w:fill="EDF1F7"/>
            <w:tcMar>
              <w:top w:w="105" w:type="dxa"/>
              <w:left w:w="147" w:type="dxa"/>
              <w:bottom w:w="105" w:type="dxa"/>
              <w:right w:w="147"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Cross-collateralised</w:t>
            </w:r>
          </w:p>
        </w:tc>
        <w:tc>
          <w:tcPr>
            <w:tcW w:type="dxa" w:w="2489"/>
            <w:tcBorders>
              <w:top w:val="nil"/>
              <w:left w:val="nil"/>
              <w:bottom w:val="single" w:sz="4" w:space="0" w:color="DCE3ED"/>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Yes — all four</w:t>
            </w:r>
          </w:p>
        </w:tc>
        <w:tc>
          <w:tcPr>
            <w:tcW w:type="dxa" w:w="2489"/>
            <w:tcBorders>
              <w:top w:val="nil"/>
              <w:left w:val="nil"/>
              <w:bottom w:val="single" w:sz="4" w:space="0" w:color="DCE3ED"/>
              <w:right w:val="nil"/>
            </w:tcBorders>
            <w:shd w:val="clear" w:color="auto" w:fill="F2F7FE"/>
            <w:tcMar>
              <w:top w:w="105" w:type="dxa"/>
              <w:left w:w="147" w:type="dxa"/>
              <w:bottom w:w="105" w:type="dxa"/>
              <w:right w:w="147"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No</w:t>
            </w:r>
          </w:p>
        </w:tc>
        <w:tc>
          <w:tcPr>
            <w:tcW w:type="dxa" w:w="2489"/>
            <w:tcBorders>
              <w:top w:val="nil"/>
              <w:left w:val="nil"/>
              <w:bottom w:val="single" w:sz="4" w:space="0" w:color="DCE3ED"/>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Removed</w:t>
            </w:r>
          </w:p>
        </w:tc>
      </w:tr>
      <w:tr>
        <w:trPr>
          <w:cantSplit/>
        </w:trPr>
        <w:tc>
          <w:tcPr>
            <w:tcW w:type="dxa" w:w="2624"/>
            <w:tcBorders>
              <w:top w:val="nil"/>
              <w:left w:val="nil"/>
              <w:bottom w:val="single" w:sz="4" w:space="0" w:color="DCE3ED"/>
              <w:right w:val="nil"/>
            </w:tcBorders>
            <w:shd w:val="clear" w:color="auto" w:fill="EDF1F7"/>
            <w:tcMar>
              <w:top w:w="105" w:type="dxa"/>
              <w:left w:w="147" w:type="dxa"/>
              <w:bottom w:w="105" w:type="dxa"/>
              <w:right w:w="147"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Blended rate</w:t>
            </w:r>
          </w:p>
        </w:tc>
        <w:tc>
          <w:tcPr>
            <w:tcW w:type="dxa" w:w="2489"/>
            <w:tcBorders>
              <w:top w:val="nil"/>
              <w:left w:val="nil"/>
              <w:bottom w:val="single" w:sz="4" w:space="0" w:color="DCE3ED"/>
              <w:right w:val="nil"/>
            </w:tcBorders>
            <w:shd w:val="clear" w:color="auto" w:fill="F7F9FC"/>
            <w:tcMar>
              <w:top w:w="105" w:type="dxa"/>
              <w:left w:w="147" w:type="dxa"/>
              <w:bottom w:w="105" w:type="dxa"/>
              <w:right w:w="147"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6.52%</w:t>
            </w:r>
          </w:p>
        </w:tc>
        <w:tc>
          <w:tcPr>
            <w:tcW w:type="dxa" w:w="2489"/>
            <w:tcBorders>
              <w:top w:val="nil"/>
              <w:left w:val="nil"/>
              <w:bottom w:val="single" w:sz="4" w:space="0" w:color="DCE3ED"/>
              <w:right w:val="nil"/>
            </w:tcBorders>
            <w:shd w:val="clear" w:color="auto" w:fill="F2F7FE"/>
            <w:tcMar>
              <w:top w:w="105" w:type="dxa"/>
              <w:left w:w="147" w:type="dxa"/>
              <w:bottom w:w="105" w:type="dxa"/>
              <w:right w:w="147"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6.18%</w:t>
            </w:r>
          </w:p>
        </w:tc>
        <w:tc>
          <w:tcPr>
            <w:tcW w:type="dxa" w:w="2489"/>
            <w:tcBorders>
              <w:top w:val="nil"/>
              <w:left w:val="nil"/>
              <w:bottom w:val="single" w:sz="4" w:space="0" w:color="DCE3ED"/>
              <w:right w:val="nil"/>
            </w:tcBorders>
            <w:shd w:val="clear" w:color="auto" w:fill="F7F9FC"/>
            <w:tcMar>
              <w:top w:w="105" w:type="dxa"/>
              <w:left w:w="147" w:type="dxa"/>
              <w:bottom w:w="105" w:type="dxa"/>
              <w:right w:w="147"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−0.34%</w:t>
            </w:r>
          </w:p>
        </w:tc>
      </w:tr>
      <w:tr>
        <w:trPr>
          <w:cantSplit/>
        </w:trPr>
        <w:tc>
          <w:tcPr>
            <w:tcW w:type="dxa" w:w="2624"/>
            <w:tcBorders>
              <w:top w:val="nil"/>
              <w:left w:val="nil"/>
              <w:bottom w:val="single" w:sz="4" w:space="0" w:color="DCE3ED"/>
              <w:right w:val="nil"/>
            </w:tcBorders>
            <w:shd w:val="clear" w:color="auto" w:fill="EDF1F7"/>
            <w:tcMar>
              <w:top w:w="105" w:type="dxa"/>
              <w:left w:w="147" w:type="dxa"/>
              <w:bottom w:w="105" w:type="dxa"/>
              <w:right w:w="147"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Annual interest</w:t>
            </w:r>
          </w:p>
        </w:tc>
        <w:tc>
          <w:tcPr>
            <w:tcW w:type="dxa" w:w="2489"/>
            <w:tcBorders>
              <w:top w:val="nil"/>
              <w:left w:val="nil"/>
              <w:bottom w:val="single" w:sz="4" w:space="0" w:color="DCE3ED"/>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$120,424</w:t>
            </w:r>
          </w:p>
        </w:tc>
        <w:tc>
          <w:tcPr>
            <w:tcW w:type="dxa" w:w="2489"/>
            <w:tcBorders>
              <w:top w:val="nil"/>
              <w:left w:val="nil"/>
              <w:bottom w:val="single" w:sz="4" w:space="0" w:color="DCE3ED"/>
              <w:right w:val="nil"/>
            </w:tcBorders>
            <w:shd w:val="clear" w:color="auto" w:fill="F2F7FE"/>
            <w:tcMar>
              <w:top w:w="105" w:type="dxa"/>
              <w:left w:w="147" w:type="dxa"/>
              <w:bottom w:w="105" w:type="dxa"/>
              <w:right w:w="147"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$115,146</w:t>
            </w:r>
          </w:p>
        </w:tc>
        <w:tc>
          <w:tcPr>
            <w:tcW w:type="dxa" w:w="2489"/>
            <w:tcBorders>
              <w:top w:val="nil"/>
              <w:left w:val="nil"/>
              <w:bottom w:val="single" w:sz="4" w:space="0" w:color="DCE3ED"/>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−$5,278</w:t>
            </w:r>
          </w:p>
        </w:tc>
      </w:tr>
      <w:tr>
        <w:trPr>
          <w:cantSplit/>
        </w:trPr>
        <w:tc>
          <w:tcPr>
            <w:tcW w:type="dxa" w:w="2624"/>
            <w:tcBorders>
              <w:top w:val="nil"/>
              <w:left w:val="nil"/>
              <w:bottom w:val="single" w:sz="4" w:space="0" w:color="DCE3ED"/>
              <w:right w:val="nil"/>
            </w:tcBorders>
            <w:shd w:val="clear" w:color="auto" w:fill="EDF1F7"/>
            <w:tcMar>
              <w:top w:w="105" w:type="dxa"/>
              <w:left w:w="147" w:type="dxa"/>
              <w:bottom w:w="105" w:type="dxa"/>
              <w:right w:w="147"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Usable equity accessible</w:t>
            </w:r>
          </w:p>
        </w:tc>
        <w:tc>
          <w:tcPr>
            <w:tcW w:type="dxa" w:w="2489"/>
            <w:tcBorders>
              <w:top w:val="nil"/>
              <w:left w:val="nil"/>
              <w:bottom w:val="single" w:sz="4" w:space="0" w:color="DCE3ED"/>
              <w:right w:val="nil"/>
            </w:tcBorders>
            <w:shd w:val="clear" w:color="auto" w:fill="F7F9FC"/>
            <w:tcMar>
              <w:top w:w="105" w:type="dxa"/>
              <w:left w:w="147" w:type="dxa"/>
              <w:bottom w:w="105" w:type="dxa"/>
              <w:right w:w="147"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$0</w:t>
            </w:r>
          </w:p>
        </w:tc>
        <w:tc>
          <w:tcPr>
            <w:tcW w:type="dxa" w:w="2489"/>
            <w:tcBorders>
              <w:top w:val="nil"/>
              <w:left w:val="nil"/>
              <w:bottom w:val="single" w:sz="4" w:space="0" w:color="DCE3ED"/>
              <w:right w:val="nil"/>
            </w:tcBorders>
            <w:shd w:val="clear" w:color="auto" w:fill="F2F7FE"/>
            <w:tcMar>
              <w:top w:w="105" w:type="dxa"/>
              <w:left w:w="147" w:type="dxa"/>
              <w:bottom w:w="105" w:type="dxa"/>
              <w:right w:w="147"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$340,000</w:t>
            </w:r>
          </w:p>
        </w:tc>
        <w:tc>
          <w:tcPr>
            <w:tcW w:type="dxa" w:w="2489"/>
            <w:tcBorders>
              <w:top w:val="nil"/>
              <w:left w:val="nil"/>
              <w:bottom w:val="single" w:sz="4" w:space="0" w:color="DCE3ED"/>
              <w:right w:val="nil"/>
            </w:tcBorders>
            <w:shd w:val="clear" w:color="auto" w:fill="F7F9FC"/>
            <w:tcMar>
              <w:top w:w="105" w:type="dxa"/>
              <w:left w:w="147" w:type="dxa"/>
              <w:bottom w:w="105" w:type="dxa"/>
              <w:right w:w="147"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+$340,000</w:t>
            </w:r>
          </w:p>
        </w:tc>
      </w:tr>
      <w:tr>
        <w:trPr>
          <w:cantSplit/>
        </w:trPr>
        <w:tc>
          <w:tcPr>
            <w:tcW w:type="dxa" w:w="2624"/>
            <w:tcBorders>
              <w:top w:val="nil"/>
              <w:left w:val="nil"/>
              <w:bottom w:val="single" w:sz="4" w:space="0" w:color="DCE3ED"/>
              <w:right w:val="nil"/>
            </w:tcBorders>
            <w:shd w:val="clear" w:color="auto" w:fill="EDF1F7"/>
            <w:tcMar>
              <w:top w:w="105" w:type="dxa"/>
              <w:left w:w="147" w:type="dxa"/>
              <w:bottom w:w="105" w:type="dxa"/>
              <w:right w:w="147"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Portfolio LVR</w:t>
            </w:r>
          </w:p>
        </w:tc>
        <w:tc>
          <w:tcPr>
            <w:tcW w:type="dxa" w:w="2489"/>
            <w:tcBorders>
              <w:top w:val="nil"/>
              <w:left w:val="nil"/>
              <w:bottom w:val="single" w:sz="4" w:space="0" w:color="DCE3ED"/>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63.4%</w:t>
            </w:r>
          </w:p>
        </w:tc>
        <w:tc>
          <w:tcPr>
            <w:tcW w:type="dxa" w:w="2489"/>
            <w:tcBorders>
              <w:top w:val="nil"/>
              <w:left w:val="nil"/>
              <w:bottom w:val="single" w:sz="4" w:space="0" w:color="DCE3ED"/>
              <w:right w:val="nil"/>
            </w:tcBorders>
            <w:shd w:val="clear" w:color="auto" w:fill="F2F7FE"/>
            <w:tcMar>
              <w:top w:w="105" w:type="dxa"/>
              <w:left w:w="147" w:type="dxa"/>
              <w:bottom w:w="105" w:type="dxa"/>
              <w:right w:w="147"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69.1%</w:t>
            </w:r>
          </w:p>
        </w:tc>
        <w:tc>
          <w:tcPr>
            <w:tcW w:type="dxa" w:w="2489"/>
            <w:tcBorders>
              <w:top w:val="nil"/>
              <w:left w:val="nil"/>
              <w:bottom w:val="single" w:sz="4" w:space="0" w:color="DCE3ED"/>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+5.7%</w:t>
            </w:r>
          </w:p>
        </w:tc>
      </w:tr>
    </w:tbl>
    <w:p>
      <w:pPr>
        <w:keepNext w:val="0"/>
        <w:keepLines/>
        <w:pageBreakBefore w:val="0"/>
        <w:widowControl w:val="1"/>
        <w:spacing w:before="0" w:after="0"/>
      </w:pPr>
      <w:r>
        <w:br w:type="page"/>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shd w:val="clear" w:color="auto" w:fill="1D6FE0"/>
            <w:tcMar>
              <w:top w:w="60" w:type="dxa"/>
              <w:left w:w="150" w:type="dxa"/>
              <w:bottom w:w="60" w:type="dxa"/>
              <w:right w:w="150" w:type="dxa"/>
            </w:tcMar>
          </w:tcPr>
          <w:p>
            <w:pPr>
              <w:keepNext/>
              <w:keepLines/>
              <w:pageBreakBefore w:val="0"/>
              <w:widowControl w:val="1"/>
              <w:spacing w:before="0" w:after="0"/>
            </w:pPr>
            <w:r>
              <w:rPr>
                <w:rFonts w:ascii="Calibri" w:hAnsi="Calibri" w:cs="Calibri" w:eastAsia="Calibri"/>
                <w:b/>
                <w:i w:val="0"/>
                <w:caps w:val="1"/>
                <w:color w:val="FFFFFF"/>
                <w:spacing w:val="40"/>
                <w:sz w:val="16"/>
                <w:u w:val="none"/>
              </w:rPr>
              <w:t>04   Sequencing</w:t>
            </w:r>
          </w:p>
        </w:tc>
      </w:tr>
      <w:tr>
        <w:trPr>
          <w:cantSplit/>
        </w:trPr>
        <w:tc>
          <w:tcPr>
            <w:tcW w:type="dxa" w:w="10091"/>
            <w:tcBorders>
              <w:top w:val="nil"/>
              <w:left w:val="nil"/>
              <w:bottom w:val="single" w:sz="4" w:space="0" w:color="DCE3ED"/>
              <w:right w:val="nil"/>
            </w:tcBorders>
            <w:shd w:val="clear" w:color="auto" w:fill="F7F9FC"/>
            <w:tcMar>
              <w:top w:w="110" w:type="dxa"/>
              <w:left w:w="150" w:type="dxa"/>
              <w:bottom w:w="110" w:type="dxa"/>
              <w:right w:w="150" w:type="dxa"/>
            </w:tcMar>
          </w:tcPr>
          <w:p>
            <w:pPr>
              <w:keepNext/>
              <w:keepLines/>
              <w:pageBreakBefore w:val="0"/>
              <w:widowControl w:val="1"/>
              <w:spacing w:before="0" w:after="0"/>
            </w:pPr>
            <w:r>
              <w:rPr>
                <w:rFonts w:ascii="Calibri" w:hAnsi="Calibri" w:cs="Calibri" w:eastAsia="Calibri"/>
                <w:b/>
                <w:i w:val="0"/>
                <w:color w:val="0C2340"/>
                <w:sz w:val="25"/>
                <w:u w:val="none"/>
              </w:rPr>
              <w:t>The order matters</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680"/>
        <w:gridCol w:w="2268"/>
        <w:gridCol w:w="7143"/>
      </w:tblGrid>
      <w:tr>
        <w:trPr>
          <w:cantSplit/>
          <w:trHeight w:val="488" w:hRule="atLeast"/>
        </w:trPr>
        <w:tc>
          <w:tcPr>
            <w:tcW w:type="dxa" w:w="680"/>
            <w:tcBorders>
              <w:top w:val="single" w:sz="4" w:space="0" w:color="FFFFFF"/>
              <w:left w:val="nil"/>
              <w:bottom w:val="single" w:sz="4" w:space="0" w:color="FFFFFF"/>
              <w:right w:val="nil"/>
            </w:tcBorders>
            <w:shd w:val="clear" w:color="auto" w:fill="0C2340"/>
            <w:tcMar>
              <w:top w:w="80" w:type="dxa"/>
              <w:left w:w="40" w:type="dxa"/>
              <w:bottom w:w="80" w:type="dxa"/>
              <w:right w:w="40" w:type="dxa"/>
            </w:tcMar>
            <w:vAlign w:val="center"/>
          </w:tcPr>
          <w:p>
            <w:pPr>
              <w:keepNext w:val="0"/>
              <w:keepLines/>
              <w:pageBreakBefore w:val="0"/>
              <w:widowControl w:val="1"/>
              <w:spacing w:before="0" w:after="0"/>
              <w:jc w:val="center"/>
            </w:pPr>
            <w:r>
              <w:rPr>
                <w:rFonts w:ascii="Calibri" w:hAnsi="Calibri" w:cs="Calibri" w:eastAsia="Calibri"/>
                <w:b/>
                <w:i w:val="0"/>
                <w:color w:val="1D6FE0"/>
                <w:sz w:val="21"/>
                <w:u w:val="none"/>
              </w:rPr>
              <w:t>1</w:t>
            </w:r>
          </w:p>
        </w:tc>
        <w:tc>
          <w:tcPr>
            <w:tcW w:type="dxa" w:w="2268"/>
            <w:tcBorders>
              <w:top w:val="single" w:sz="4" w:space="0" w:color="FFFFFF"/>
              <w:left w:val="nil"/>
              <w:bottom w:val="single" w:sz="4" w:space="0" w:color="FFFFFF"/>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0C2340"/>
                <w:spacing w:val="22"/>
                <w:sz w:val="16"/>
                <w:u w:val="none"/>
              </w:rPr>
              <w:t>Valuations</w:t>
            </w:r>
          </w:p>
        </w:tc>
        <w:tc>
          <w:tcPr>
            <w:tcW w:type="dxa" w:w="7143"/>
            <w:tcBorders>
              <w:top w:val="single" w:sz="4" w:space="0" w:color="FFFFFF"/>
              <w:left w:val="nil"/>
              <w:bottom w:val="single" w:sz="4" w:space="0" w:color="FFFFFF"/>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88" w:lineRule="auto"/>
            </w:pPr>
            <w:r>
              <w:rPr>
                <w:rFonts w:ascii="Calibri" w:hAnsi="Calibri" w:cs="Calibri" w:eastAsia="Calibri"/>
                <w:b w:val="0"/>
                <w:i w:val="0"/>
                <w:color w:val="10192A"/>
                <w:sz w:val="17"/>
                <w:u w:val="none"/>
              </w:rPr>
              <w:t>Order upfront valuations on all four assets with Lender B.</w:t>
            </w:r>
          </w:p>
        </w:tc>
      </w:tr>
      <w:tr>
        <w:trPr>
          <w:cantSplit/>
          <w:trHeight w:val="488" w:hRule="atLeast"/>
        </w:trPr>
        <w:tc>
          <w:tcPr>
            <w:tcW w:type="dxa" w:w="680"/>
            <w:tcBorders>
              <w:top w:val="single" w:sz="4" w:space="0" w:color="FFFFFF"/>
              <w:left w:val="nil"/>
              <w:bottom w:val="single" w:sz="4" w:space="0" w:color="FFFFFF"/>
              <w:right w:val="nil"/>
            </w:tcBorders>
            <w:shd w:val="clear" w:color="auto" w:fill="0C2340"/>
            <w:tcMar>
              <w:top w:w="80" w:type="dxa"/>
              <w:left w:w="40" w:type="dxa"/>
              <w:bottom w:w="80" w:type="dxa"/>
              <w:right w:w="40" w:type="dxa"/>
            </w:tcMar>
            <w:vAlign w:val="center"/>
          </w:tcPr>
          <w:p>
            <w:pPr>
              <w:keepNext w:val="0"/>
              <w:keepLines/>
              <w:pageBreakBefore w:val="0"/>
              <w:widowControl w:val="1"/>
              <w:spacing w:before="0" w:after="0"/>
              <w:jc w:val="center"/>
            </w:pPr>
            <w:r>
              <w:rPr>
                <w:rFonts w:ascii="Calibri" w:hAnsi="Calibri" w:cs="Calibri" w:eastAsia="Calibri"/>
                <w:b/>
                <w:i w:val="0"/>
                <w:color w:val="1D6FE0"/>
                <w:sz w:val="21"/>
                <w:u w:val="none"/>
              </w:rPr>
              <w:t>2</w:t>
            </w:r>
          </w:p>
        </w:tc>
        <w:tc>
          <w:tcPr>
            <w:tcW w:type="dxa" w:w="2268"/>
            <w:tcBorders>
              <w:top w:val="single" w:sz="4" w:space="0" w:color="FFFFFF"/>
              <w:left w:val="nil"/>
              <w:bottom w:val="single" w:sz="4" w:space="0" w:color="FFFFFF"/>
              <w:right w:val="nil"/>
            </w:tcBorders>
            <w:shd w:val="clear" w:color="auto" w:fill="F7F9FC"/>
            <w:tcMar>
              <w:top w:w="105" w:type="dxa"/>
              <w:left w:w="147" w:type="dxa"/>
              <w:bottom w:w="105" w:type="dxa"/>
              <w:right w:w="147"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0C2340"/>
                <w:spacing w:val="22"/>
                <w:sz w:val="16"/>
                <w:u w:val="none"/>
              </w:rPr>
              <w:t>Split</w:t>
            </w:r>
          </w:p>
        </w:tc>
        <w:tc>
          <w:tcPr>
            <w:tcW w:type="dxa" w:w="7143"/>
            <w:tcBorders>
              <w:top w:val="single" w:sz="4" w:space="0" w:color="FFFFFF"/>
              <w:left w:val="nil"/>
              <w:bottom w:val="single" w:sz="4" w:space="0" w:color="FFFFFF"/>
              <w:right w:val="nil"/>
            </w:tcBorders>
            <w:shd w:val="clear" w:color="auto" w:fill="F7F9FC"/>
            <w:tcMar>
              <w:top w:w="105" w:type="dxa"/>
              <w:left w:w="147" w:type="dxa"/>
              <w:bottom w:w="105" w:type="dxa"/>
              <w:right w:w="147" w:type="dxa"/>
            </w:tcMar>
            <w:vAlign w:val="center"/>
          </w:tcPr>
          <w:p>
            <w:pPr>
              <w:keepNext w:val="0"/>
              <w:keepLines/>
              <w:pageBreakBefore w:val="0"/>
              <w:widowControl w:val="1"/>
              <w:spacing w:before="0" w:after="0" w:line="288" w:lineRule="auto"/>
            </w:pPr>
            <w:r>
              <w:rPr>
                <w:rFonts w:ascii="Calibri" w:hAnsi="Calibri" w:cs="Calibri" w:eastAsia="Calibri"/>
                <w:b w:val="0"/>
                <w:i w:val="0"/>
                <w:color w:val="10192A"/>
                <w:sz w:val="17"/>
                <w:u w:val="none"/>
              </w:rPr>
              <w:t>Refinance 21 Test Rd and 9 Demo Close to Lender B as standalone facilities.</w:t>
            </w:r>
          </w:p>
        </w:tc>
      </w:tr>
      <w:tr>
        <w:trPr>
          <w:cantSplit/>
          <w:trHeight w:val="488" w:hRule="atLeast"/>
        </w:trPr>
        <w:tc>
          <w:tcPr>
            <w:tcW w:type="dxa" w:w="680"/>
            <w:tcBorders>
              <w:top w:val="single" w:sz="4" w:space="0" w:color="FFFFFF"/>
              <w:left w:val="nil"/>
              <w:bottom w:val="single" w:sz="4" w:space="0" w:color="FFFFFF"/>
              <w:right w:val="nil"/>
            </w:tcBorders>
            <w:shd w:val="clear" w:color="auto" w:fill="0C2340"/>
            <w:tcMar>
              <w:top w:w="80" w:type="dxa"/>
              <w:left w:w="40" w:type="dxa"/>
              <w:bottom w:w="80" w:type="dxa"/>
              <w:right w:w="40" w:type="dxa"/>
            </w:tcMar>
            <w:vAlign w:val="center"/>
          </w:tcPr>
          <w:p>
            <w:pPr>
              <w:keepNext w:val="0"/>
              <w:keepLines/>
              <w:pageBreakBefore w:val="0"/>
              <w:widowControl w:val="1"/>
              <w:spacing w:before="0" w:after="0"/>
              <w:jc w:val="center"/>
            </w:pPr>
            <w:r>
              <w:rPr>
                <w:rFonts w:ascii="Calibri" w:hAnsi="Calibri" w:cs="Calibri" w:eastAsia="Calibri"/>
                <w:b/>
                <w:i w:val="0"/>
                <w:color w:val="1D6FE0"/>
                <w:sz w:val="21"/>
                <w:u w:val="none"/>
              </w:rPr>
              <w:t>3</w:t>
            </w:r>
          </w:p>
        </w:tc>
        <w:tc>
          <w:tcPr>
            <w:tcW w:type="dxa" w:w="2268"/>
            <w:tcBorders>
              <w:top w:val="single" w:sz="4" w:space="0" w:color="FFFFFF"/>
              <w:left w:val="nil"/>
              <w:bottom w:val="single" w:sz="4" w:space="0" w:color="FFFFFF"/>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0C2340"/>
                <w:spacing w:val="22"/>
                <w:sz w:val="16"/>
                <w:u w:val="none"/>
              </w:rPr>
              <w:t>Unwind</w:t>
            </w:r>
          </w:p>
        </w:tc>
        <w:tc>
          <w:tcPr>
            <w:tcW w:type="dxa" w:w="7143"/>
            <w:tcBorders>
              <w:top w:val="single" w:sz="4" w:space="0" w:color="FFFFFF"/>
              <w:left w:val="nil"/>
              <w:bottom w:val="single" w:sz="4" w:space="0" w:color="FFFFFF"/>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88" w:lineRule="auto"/>
            </w:pPr>
            <w:r>
              <w:rPr>
                <w:rFonts w:ascii="Calibri" w:hAnsi="Calibri" w:cs="Calibri" w:eastAsia="Calibri"/>
                <w:b w:val="0"/>
                <w:i w:val="0"/>
                <w:color w:val="10192A"/>
                <w:sz w:val="17"/>
                <w:u w:val="none"/>
              </w:rPr>
              <w:t>Release the remaining two securities from Facility 2 with Lender A.</w:t>
            </w:r>
          </w:p>
        </w:tc>
      </w:tr>
      <w:tr>
        <w:trPr>
          <w:cantSplit/>
          <w:trHeight w:val="488" w:hRule="atLeast"/>
        </w:trPr>
        <w:tc>
          <w:tcPr>
            <w:tcW w:type="dxa" w:w="680"/>
            <w:tcBorders>
              <w:top w:val="single" w:sz="4" w:space="0" w:color="FFFFFF"/>
              <w:left w:val="nil"/>
              <w:bottom w:val="single" w:sz="4" w:space="0" w:color="FFFFFF"/>
              <w:right w:val="nil"/>
            </w:tcBorders>
            <w:shd w:val="clear" w:color="auto" w:fill="0C2340"/>
            <w:tcMar>
              <w:top w:w="80" w:type="dxa"/>
              <w:left w:w="40" w:type="dxa"/>
              <w:bottom w:w="80" w:type="dxa"/>
              <w:right w:w="40" w:type="dxa"/>
            </w:tcMar>
            <w:vAlign w:val="center"/>
          </w:tcPr>
          <w:p>
            <w:pPr>
              <w:keepNext w:val="0"/>
              <w:keepLines/>
              <w:pageBreakBefore w:val="0"/>
              <w:widowControl w:val="1"/>
              <w:spacing w:before="0" w:after="0"/>
              <w:jc w:val="center"/>
            </w:pPr>
            <w:r>
              <w:rPr>
                <w:rFonts w:ascii="Calibri" w:hAnsi="Calibri" w:cs="Calibri" w:eastAsia="Calibri"/>
                <w:b/>
                <w:i w:val="0"/>
                <w:color w:val="1D6FE0"/>
                <w:sz w:val="21"/>
                <w:u w:val="none"/>
              </w:rPr>
              <w:t>4</w:t>
            </w:r>
          </w:p>
        </w:tc>
        <w:tc>
          <w:tcPr>
            <w:tcW w:type="dxa" w:w="2268"/>
            <w:tcBorders>
              <w:top w:val="single" w:sz="4" w:space="0" w:color="FFFFFF"/>
              <w:left w:val="nil"/>
              <w:bottom w:val="single" w:sz="4" w:space="0" w:color="FFFFFF"/>
              <w:right w:val="nil"/>
            </w:tcBorders>
            <w:shd w:val="clear" w:color="auto" w:fill="F7F9FC"/>
            <w:tcMar>
              <w:top w:w="105" w:type="dxa"/>
              <w:left w:w="147" w:type="dxa"/>
              <w:bottom w:w="105" w:type="dxa"/>
              <w:right w:w="147"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0C2340"/>
                <w:spacing w:val="22"/>
                <w:sz w:val="16"/>
                <w:u w:val="none"/>
              </w:rPr>
              <w:t>Restructure</w:t>
            </w:r>
          </w:p>
        </w:tc>
        <w:tc>
          <w:tcPr>
            <w:tcW w:type="dxa" w:w="7143"/>
            <w:tcBorders>
              <w:top w:val="single" w:sz="4" w:space="0" w:color="FFFFFF"/>
              <w:left w:val="nil"/>
              <w:bottom w:val="single" w:sz="4" w:space="0" w:color="FFFFFF"/>
              <w:right w:val="nil"/>
            </w:tcBorders>
            <w:shd w:val="clear" w:color="auto" w:fill="F7F9FC"/>
            <w:tcMar>
              <w:top w:w="105" w:type="dxa"/>
              <w:left w:w="147" w:type="dxa"/>
              <w:bottom w:w="105" w:type="dxa"/>
              <w:right w:w="147" w:type="dxa"/>
            </w:tcMar>
            <w:vAlign w:val="center"/>
          </w:tcPr>
          <w:p>
            <w:pPr>
              <w:keepNext w:val="0"/>
              <w:keepLines/>
              <w:pageBreakBefore w:val="0"/>
              <w:widowControl w:val="1"/>
              <w:spacing w:before="0" w:after="0" w:line="288" w:lineRule="auto"/>
            </w:pPr>
            <w:r>
              <w:rPr>
                <w:rFonts w:ascii="Calibri" w:hAnsi="Calibri" w:cs="Calibri" w:eastAsia="Calibri"/>
                <w:b w:val="0"/>
                <w:i w:val="0"/>
                <w:color w:val="10192A"/>
                <w:sz w:val="17"/>
                <w:u w:val="none"/>
              </w:rPr>
              <w:t>Convert the Lender A exposure into two standalone facilities.</w:t>
            </w:r>
          </w:p>
        </w:tc>
      </w:tr>
      <w:tr>
        <w:trPr>
          <w:cantSplit/>
          <w:trHeight w:val="488" w:hRule="atLeast"/>
        </w:trPr>
        <w:tc>
          <w:tcPr>
            <w:tcW w:type="dxa" w:w="680"/>
            <w:tcBorders>
              <w:top w:val="single" w:sz="4" w:space="0" w:color="FFFFFF"/>
              <w:left w:val="nil"/>
              <w:bottom w:val="single" w:sz="4" w:space="0" w:color="FFFFFF"/>
              <w:right w:val="nil"/>
            </w:tcBorders>
            <w:shd w:val="clear" w:color="auto" w:fill="0C2340"/>
            <w:tcMar>
              <w:top w:w="80" w:type="dxa"/>
              <w:left w:w="40" w:type="dxa"/>
              <w:bottom w:w="80" w:type="dxa"/>
              <w:right w:w="40" w:type="dxa"/>
            </w:tcMar>
            <w:vAlign w:val="center"/>
          </w:tcPr>
          <w:p>
            <w:pPr>
              <w:keepNext w:val="0"/>
              <w:keepLines/>
              <w:pageBreakBefore w:val="0"/>
              <w:widowControl w:val="1"/>
              <w:spacing w:before="0" w:after="0"/>
              <w:jc w:val="center"/>
            </w:pPr>
            <w:r>
              <w:rPr>
                <w:rFonts w:ascii="Calibri" w:hAnsi="Calibri" w:cs="Calibri" w:eastAsia="Calibri"/>
                <w:b/>
                <w:i w:val="0"/>
                <w:color w:val="1D6FE0"/>
                <w:sz w:val="21"/>
                <w:u w:val="none"/>
              </w:rPr>
              <w:t>5</w:t>
            </w:r>
          </w:p>
        </w:tc>
        <w:tc>
          <w:tcPr>
            <w:tcW w:type="dxa" w:w="2268"/>
            <w:tcBorders>
              <w:top w:val="single" w:sz="4" w:space="0" w:color="FFFFFF"/>
              <w:left w:val="nil"/>
              <w:bottom w:val="single" w:sz="4" w:space="0" w:color="FFFFFF"/>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0C2340"/>
                <w:spacing w:val="22"/>
                <w:sz w:val="16"/>
                <w:u w:val="none"/>
              </w:rPr>
              <w:t>Release</w:t>
            </w:r>
          </w:p>
        </w:tc>
        <w:tc>
          <w:tcPr>
            <w:tcW w:type="dxa" w:w="7143"/>
            <w:tcBorders>
              <w:top w:val="single" w:sz="4" w:space="0" w:color="FFFFFF"/>
              <w:left w:val="nil"/>
              <w:bottom w:val="single" w:sz="4" w:space="0" w:color="FFFFFF"/>
              <w:right w:val="nil"/>
            </w:tcBorders>
            <w:shd w:val="clear" w:color="auto" w:fill="FFFFFF"/>
            <w:tcMar>
              <w:top w:w="105" w:type="dxa"/>
              <w:left w:w="147" w:type="dxa"/>
              <w:bottom w:w="105" w:type="dxa"/>
              <w:right w:w="147" w:type="dxa"/>
            </w:tcMar>
            <w:vAlign w:val="center"/>
          </w:tcPr>
          <w:p>
            <w:pPr>
              <w:keepNext w:val="0"/>
              <w:keepLines/>
              <w:pageBreakBefore w:val="0"/>
              <w:widowControl w:val="1"/>
              <w:spacing w:before="0" w:after="0" w:line="288" w:lineRule="auto"/>
            </w:pPr>
            <w:r>
              <w:rPr>
                <w:rFonts w:ascii="Calibri" w:hAnsi="Calibri" w:cs="Calibri" w:eastAsia="Calibri"/>
                <w:b w:val="0"/>
                <w:i w:val="0"/>
                <w:color w:val="10192A"/>
                <w:sz w:val="17"/>
                <w:u w:val="none"/>
              </w:rPr>
              <w:t>Establish the $340,000 equity release facility against 21 Test Rd.</w:t>
            </w:r>
          </w:p>
        </w:tc>
      </w:tr>
      <w:tr>
        <w:trPr>
          <w:cantSplit/>
          <w:trHeight w:val="488" w:hRule="atLeast"/>
        </w:trPr>
        <w:tc>
          <w:tcPr>
            <w:tcW w:type="dxa" w:w="680"/>
            <w:tcBorders>
              <w:top w:val="single" w:sz="4" w:space="0" w:color="FFFFFF"/>
              <w:left w:val="nil"/>
              <w:bottom w:val="single" w:sz="4" w:space="0" w:color="FFFFFF"/>
              <w:right w:val="nil"/>
            </w:tcBorders>
            <w:shd w:val="clear" w:color="auto" w:fill="0C2340"/>
            <w:tcMar>
              <w:top w:w="80" w:type="dxa"/>
              <w:left w:w="40" w:type="dxa"/>
              <w:bottom w:w="80" w:type="dxa"/>
              <w:right w:w="40" w:type="dxa"/>
            </w:tcMar>
            <w:vAlign w:val="center"/>
          </w:tcPr>
          <w:p>
            <w:pPr>
              <w:keepNext w:val="0"/>
              <w:keepLines/>
              <w:pageBreakBefore w:val="0"/>
              <w:widowControl w:val="1"/>
              <w:spacing w:before="0" w:after="0"/>
              <w:jc w:val="center"/>
            </w:pPr>
            <w:r>
              <w:rPr>
                <w:rFonts w:ascii="Calibri" w:hAnsi="Calibri" w:cs="Calibri" w:eastAsia="Calibri"/>
                <w:b/>
                <w:i w:val="0"/>
                <w:color w:val="1D6FE0"/>
                <w:sz w:val="21"/>
                <w:u w:val="none"/>
              </w:rPr>
              <w:t>6</w:t>
            </w:r>
          </w:p>
        </w:tc>
        <w:tc>
          <w:tcPr>
            <w:tcW w:type="dxa" w:w="2268"/>
            <w:tcBorders>
              <w:top w:val="single" w:sz="4" w:space="0" w:color="FFFFFF"/>
              <w:left w:val="nil"/>
              <w:bottom w:val="single" w:sz="4" w:space="0" w:color="FFFFFF"/>
              <w:right w:val="nil"/>
            </w:tcBorders>
            <w:shd w:val="clear" w:color="auto" w:fill="F7F9FC"/>
            <w:tcMar>
              <w:top w:w="105" w:type="dxa"/>
              <w:left w:w="147" w:type="dxa"/>
              <w:bottom w:w="105" w:type="dxa"/>
              <w:right w:w="147"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0C2340"/>
                <w:spacing w:val="22"/>
                <w:sz w:val="16"/>
                <w:u w:val="none"/>
              </w:rPr>
              <w:t>Deploy</w:t>
            </w:r>
          </w:p>
        </w:tc>
        <w:tc>
          <w:tcPr>
            <w:tcW w:type="dxa" w:w="7143"/>
            <w:tcBorders>
              <w:top w:val="single" w:sz="4" w:space="0" w:color="FFFFFF"/>
              <w:left w:val="nil"/>
              <w:bottom w:val="single" w:sz="4" w:space="0" w:color="FFFFFF"/>
              <w:right w:val="nil"/>
            </w:tcBorders>
            <w:shd w:val="clear" w:color="auto" w:fill="F7F9FC"/>
            <w:tcMar>
              <w:top w:w="105" w:type="dxa"/>
              <w:left w:w="147" w:type="dxa"/>
              <w:bottom w:w="105" w:type="dxa"/>
              <w:right w:w="147" w:type="dxa"/>
            </w:tcMar>
            <w:vAlign w:val="center"/>
          </w:tcPr>
          <w:p>
            <w:pPr>
              <w:keepNext w:val="0"/>
              <w:keepLines/>
              <w:pageBreakBefore w:val="0"/>
              <w:widowControl w:val="1"/>
              <w:spacing w:before="0" w:after="0" w:line="288" w:lineRule="auto"/>
            </w:pPr>
            <w:r>
              <w:rPr>
                <w:rFonts w:ascii="Calibri" w:hAnsi="Calibri" w:cs="Calibri" w:eastAsia="Calibri"/>
                <w:b w:val="0"/>
                <w:i w:val="0"/>
                <w:color w:val="10192A"/>
                <w:sz w:val="17"/>
                <w:u w:val="none"/>
              </w:rPr>
              <w:t>Funds available for the next two acquisitions.</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Height w:val="3061" w:hRule="atLeast"/>
        </w:trPr>
        <w:tc>
          <w:tcPr>
            <w:tcW w:type="dxa" w:w="10091"/>
            <w:tcBorders>
              <w:top w:val="single" w:sz="4" w:space="0" w:color="C2CDDC"/>
              <w:left w:val="single" w:sz="4" w:space="0" w:color="C2CDDC"/>
              <w:bottom w:val="single" w:sz="4" w:space="0" w:color="C2CDDC"/>
              <w:right w:val="single" w:sz="4" w:space="0" w:color="C2CDDC"/>
            </w:tcBorders>
            <w:shd w:val="clear" w:color="auto" w:fill="F7F9FC"/>
            <w:tcMar>
              <w:top w:w="150" w:type="dxa"/>
              <w:left w:w="180" w:type="dxa"/>
              <w:bottom w:w="150" w:type="dxa"/>
              <w:right w:w="180" w:type="dxa"/>
            </w:tcMar>
            <w:vAlign w:val="center"/>
          </w:tcPr>
          <w:p>
            <w:pPr>
              <w:keepNext w:val="0"/>
              <w:keepLines/>
              <w:pageBreakBefore w:val="0"/>
              <w:widowControl w:val="1"/>
              <w:spacing w:before="0" w:after="60"/>
              <w:jc w:val="center"/>
            </w:pPr>
            <w:r>
              <w:rPr>
                <w:rFonts w:ascii="Calibri" w:hAnsi="Calibri" w:cs="Calibri" w:eastAsia="Calibri"/>
                <w:b/>
                <w:i w:val="0"/>
                <w:color w:val="0C2340"/>
                <w:sz w:val="18"/>
                <w:u w:val="none"/>
              </w:rPr>
              <w:t>Funding runway</w:t>
            </w:r>
          </w:p>
          <w:p>
            <w:pPr>
              <w:keepNext w:val="0"/>
              <w:keepLines/>
              <w:pageBreakBefore w:val="0"/>
              <w:widowControl w:val="1"/>
              <w:spacing w:before="0" w:after="60"/>
              <w:jc w:val="center"/>
            </w:pPr>
            <w:r>
              <w:rPr>
                <w:rFonts w:ascii="Calibri" w:hAnsi="Calibri" w:cs="Calibri" w:eastAsia="Calibri"/>
                <w:b/>
                <w:i w:val="0"/>
                <w:caps w:val="1"/>
                <w:color w:val="1D6FE0"/>
                <w:spacing w:val="36"/>
                <w:sz w:val="15"/>
                <w:u w:val="none"/>
              </w:rPr>
              <w:t>[  STACKED COLUMN CHART  ]</w:t>
            </w:r>
          </w:p>
          <w:p>
            <w:pPr>
              <w:keepNext/>
              <w:keepLines/>
              <w:pageBreakBefore w:val="0"/>
              <w:widowControl w:val="1"/>
              <w:spacing w:before="0" w:after="0"/>
              <w:jc w:val="center"/>
            </w:pPr>
            <w:r>
              <w:rPr>
                <w:rFonts w:ascii="Calibri" w:hAnsi="Calibri" w:cs="Calibri" w:eastAsia="Calibri"/>
                <w:b w:val="0"/>
                <w:i w:val="0"/>
                <w:color w:val="8493A8"/>
                <w:sz w:val="14"/>
                <w:u w:val="none"/>
              </w:rPr>
              <w:t>{{strategy.runway}}</w:t>
            </w:r>
          </w:p>
        </w:tc>
      </w:tr>
    </w:tbl>
    <w:p>
      <w:pPr>
        <w:keepNext w:val="0"/>
        <w:keepLines/>
        <w:pageBreakBefore w:val="0"/>
        <w:widowControl w:val="1"/>
        <w:spacing w:before="80" w:after="0" w:line="298" w:lineRule="auto"/>
      </w:pPr>
      <w:r>
        <w:rPr>
          <w:rFonts w:ascii="Calibri" w:hAnsi="Calibri" w:cs="Calibri" w:eastAsia="Calibri"/>
          <w:b w:val="0"/>
          <w:i/>
          <w:color w:val="8493A8"/>
          <w:sz w:val="14"/>
          <w:u w:val="none"/>
        </w:rPr>
        <w:t>Capacity released against planned acquisitions, 24 months   ·   Source: Aurixa funding model   ·   Alt text: Released equity covers both planned deposits with $42,000 headroom</w:t>
      </w:r>
    </w:p>
    <w:p>
      <w:pPr>
        <w:keepNext w:val="0"/>
        <w:keepLines/>
        <w:pageBreakBefore w:val="0"/>
        <w:widowControl w:val="1"/>
        <w:spacing w:before="0" w:after="0" w:line="180" w:lineRule="exact"/>
      </w:pPr>
      <w:r>
        <w:rPr>
          <w:sz w:val="2"/>
        </w:rPr>
      </w:r>
    </w:p>
    <w:p>
      <w:pPr>
        <w:keepNext/>
        <w:keepLines/>
        <w:pageBreakBefore w:val="0"/>
        <w:widowControl w:val="1"/>
        <w:spacing w:before="0" w:after="80"/>
      </w:pPr>
      <w:r>
        <w:rPr>
          <w:rFonts w:ascii="Calibri" w:hAnsi="Calibri" w:cs="Calibri" w:eastAsia="Calibri"/>
          <w:b/>
          <w:i w:val="0"/>
          <w:caps w:val="1"/>
          <w:color w:val="B3261E"/>
          <w:spacing w:val="32"/>
          <w:sz w:val="15"/>
          <w:u w:val="none"/>
        </w:rPr>
        <w:t>Risks and mitigations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Risks and mitigations"/>
        <w:tblDescription w:val="Columns: Risk, Severity, Mitigation"/>
      </w:tblPr>
      <w:tblGrid>
        <w:gridCol w:w="4037"/>
        <w:gridCol w:w="1413"/>
        <w:gridCol w:w="4642"/>
      </w:tblGrid>
      <w:tr>
        <w:trPr>
          <w:cantSplit/>
          <w:tblHeader/>
        </w:trPr>
        <w:tc>
          <w:tcPr>
            <w:tcW w:type="dxa" w:w="4037"/>
            <w:tcBorders>
              <w:top w:val="nil"/>
              <w:left w:val="nil"/>
              <w:bottom w:val="single" w:sz="8" w:space="0" w:color="1D6FE0"/>
              <w:right w:val="nil"/>
            </w:tcBorders>
            <w:shd w:val="clear" w:color="auto" w:fill="1554AE"/>
            <w:tcMar>
              <w:top w:w="105" w:type="dxa"/>
              <w:left w:w="147" w:type="dxa"/>
              <w:bottom w:w="105" w:type="dxa"/>
              <w:right w:w="147" w:type="dxa"/>
            </w:tcMar>
          </w:tcPr>
          <w:p>
            <w:pPr>
              <w:keepNext w:val="0"/>
              <w:keepLines/>
              <w:pageBreakBefore w:val="0"/>
              <w:widowControl w:val="1"/>
              <w:spacing w:before="0" w:after="0"/>
            </w:pPr>
            <w:r>
              <w:rPr>
                <w:rFonts w:ascii="Calibri" w:hAnsi="Calibri" w:cs="Calibri" w:eastAsia="Calibri"/>
                <w:b/>
                <w:i w:val="0"/>
                <w:caps w:val="1"/>
                <w:color w:val="FFFFFF"/>
                <w:spacing w:val="22"/>
                <w:sz w:val="15"/>
                <w:u w:val="none"/>
              </w:rPr>
              <w:t>Risk</w:t>
            </w:r>
          </w:p>
        </w:tc>
        <w:tc>
          <w:tcPr>
            <w:tcW w:type="dxa" w:w="1413"/>
            <w:tcBorders>
              <w:top w:val="nil"/>
              <w:left w:val="nil"/>
              <w:bottom w:val="single" w:sz="8" w:space="0" w:color="1D6FE0"/>
              <w:right w:val="nil"/>
            </w:tcBorders>
            <w:shd w:val="clear" w:color="auto" w:fill="1554AE"/>
            <w:tcMar>
              <w:top w:w="105" w:type="dxa"/>
              <w:left w:w="147" w:type="dxa"/>
              <w:bottom w:w="105" w:type="dxa"/>
              <w:right w:w="147" w:type="dxa"/>
            </w:tcMar>
          </w:tcPr>
          <w:p>
            <w:pPr>
              <w:keepNext w:val="0"/>
              <w:keepLines/>
              <w:pageBreakBefore w:val="0"/>
              <w:widowControl w:val="1"/>
              <w:spacing w:before="0" w:after="0"/>
            </w:pPr>
            <w:r>
              <w:rPr>
                <w:rFonts w:ascii="Calibri" w:hAnsi="Calibri" w:cs="Calibri" w:eastAsia="Calibri"/>
                <w:b/>
                <w:i w:val="0"/>
                <w:caps w:val="1"/>
                <w:color w:val="FFFFFF"/>
                <w:spacing w:val="22"/>
                <w:sz w:val="15"/>
                <w:u w:val="none"/>
              </w:rPr>
              <w:t>Severity</w:t>
            </w:r>
          </w:p>
        </w:tc>
        <w:tc>
          <w:tcPr>
            <w:tcW w:type="dxa" w:w="4642"/>
            <w:tcBorders>
              <w:top w:val="nil"/>
              <w:left w:val="nil"/>
              <w:bottom w:val="single" w:sz="8" w:space="0" w:color="1D6FE0"/>
              <w:right w:val="nil"/>
            </w:tcBorders>
            <w:shd w:val="clear" w:color="auto" w:fill="1554AE"/>
            <w:tcMar>
              <w:top w:w="105" w:type="dxa"/>
              <w:left w:w="147" w:type="dxa"/>
              <w:bottom w:w="105" w:type="dxa"/>
              <w:right w:w="147" w:type="dxa"/>
            </w:tcMar>
          </w:tcPr>
          <w:p>
            <w:pPr>
              <w:keepNext w:val="0"/>
              <w:keepLines/>
              <w:pageBreakBefore w:val="0"/>
              <w:widowControl w:val="1"/>
              <w:spacing w:before="0" w:after="0"/>
            </w:pPr>
            <w:r>
              <w:rPr>
                <w:rFonts w:ascii="Calibri" w:hAnsi="Calibri" w:cs="Calibri" w:eastAsia="Calibri"/>
                <w:b/>
                <w:i w:val="0"/>
                <w:caps w:val="1"/>
                <w:color w:val="FFFFFF"/>
                <w:spacing w:val="22"/>
                <w:sz w:val="15"/>
                <w:u w:val="none"/>
              </w:rPr>
              <w:t>Mitigation</w:t>
            </w:r>
          </w:p>
        </w:tc>
      </w:tr>
      <w:tr>
        <w:trPr>
          <w:cantSplit/>
        </w:trPr>
        <w:tc>
          <w:tcPr>
            <w:tcW w:type="dxa" w:w="4037"/>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Valuations come in below the assumed figures</w:t>
            </w:r>
          </w:p>
        </w:tc>
        <w:tc>
          <w:tcPr>
            <w:tcW w:type="dxa" w:w="1413"/>
            <w:tcBorders>
              <w:top w:val="nil"/>
              <w:left w:val="nil"/>
              <w:bottom w:val="single" w:sz="4" w:space="0" w:color="DCE3ED"/>
              <w:right w:val="nil"/>
            </w:tcBorders>
            <w:shd w:val="clear" w:color="auto" w:fill="FBECEA"/>
            <w:tcMar>
              <w:top w:w="105" w:type="dxa"/>
              <w:left w:w="147" w:type="dxa"/>
              <w:bottom w:w="105" w:type="dxa"/>
              <w:right w:w="147" w:type="dxa"/>
            </w:tcMar>
            <w:vAlign w:val="top"/>
          </w:tcPr>
          <w:p>
            <w:pPr>
              <w:keepNext w:val="0"/>
              <w:keepLines/>
              <w:pageBreakBefore w:val="0"/>
              <w:widowControl w:val="1"/>
              <w:spacing w:before="0" w:after="0" w:line="298" w:lineRule="auto"/>
            </w:pPr>
            <w:r>
              <w:rPr>
                <w:rFonts w:ascii="Calibri" w:hAnsi="Calibri" w:cs="Calibri" w:eastAsia="Calibri"/>
                <w:b/>
                <w:i w:val="0"/>
                <w:color w:val="B3261E"/>
                <w:sz w:val="17"/>
                <w:u w:val="none"/>
              </w:rPr>
              <w:t>▲  HIGH</w:t>
            </w:r>
          </w:p>
        </w:tc>
        <w:tc>
          <w:tcPr>
            <w:tcW w:type="dxa" w:w="4642"/>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The equity release reduces proportionally. Order upfront valuations before committing to the refinance.</w:t>
            </w:r>
          </w:p>
        </w:tc>
      </w:tr>
      <w:tr>
        <w:trPr>
          <w:cantSplit/>
        </w:trPr>
        <w:tc>
          <w:tcPr>
            <w:tcW w:type="dxa" w:w="4037"/>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Lender B policy changes during the 14-week sequence</w:t>
            </w:r>
          </w:p>
        </w:tc>
        <w:tc>
          <w:tcPr>
            <w:tcW w:type="dxa" w:w="1413"/>
            <w:tcBorders>
              <w:top w:val="nil"/>
              <w:left w:val="nil"/>
              <w:bottom w:val="single" w:sz="4" w:space="0" w:color="DCE3ED"/>
              <w:right w:val="nil"/>
            </w:tcBorders>
            <w:shd w:val="clear" w:color="auto" w:fill="FBF1E0"/>
            <w:tcMar>
              <w:top w:w="105" w:type="dxa"/>
              <w:left w:w="147" w:type="dxa"/>
              <w:bottom w:w="105" w:type="dxa"/>
              <w:right w:w="147" w:type="dxa"/>
            </w:tcMar>
            <w:vAlign w:val="top"/>
          </w:tcPr>
          <w:p>
            <w:pPr>
              <w:keepNext w:val="0"/>
              <w:keepLines/>
              <w:pageBreakBefore w:val="0"/>
              <w:widowControl w:val="1"/>
              <w:spacing w:before="0" w:after="0" w:line="298" w:lineRule="auto"/>
            </w:pPr>
            <w:r>
              <w:rPr>
                <w:rFonts w:ascii="Calibri" w:hAnsi="Calibri" w:cs="Calibri" w:eastAsia="Calibri"/>
                <w:b/>
                <w:i w:val="0"/>
                <w:color w:val="B26A00"/>
                <w:sz w:val="17"/>
                <w:u w:val="none"/>
              </w:rPr>
              <w:t>▲  MEDIUM</w:t>
            </w:r>
          </w:p>
        </w:tc>
        <w:tc>
          <w:tcPr>
            <w:tcW w:type="dxa" w:w="4642"/>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Obtain formal approval on all four facilities before discharging anything with Lender A.</w:t>
            </w:r>
          </w:p>
        </w:tc>
      </w:tr>
      <w:tr>
        <w:trPr>
          <w:cantSplit/>
        </w:trPr>
        <w:tc>
          <w:tcPr>
            <w:tcW w:type="dxa" w:w="4037"/>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Break costs on the fixed facility expiring 03/2027</w:t>
            </w:r>
          </w:p>
        </w:tc>
        <w:tc>
          <w:tcPr>
            <w:tcW w:type="dxa" w:w="1413"/>
            <w:tcBorders>
              <w:top w:val="nil"/>
              <w:left w:val="nil"/>
              <w:bottom w:val="single" w:sz="4" w:space="0" w:color="DCE3ED"/>
              <w:right w:val="nil"/>
            </w:tcBorders>
            <w:shd w:val="clear" w:color="auto" w:fill="FBF1E0"/>
            <w:tcMar>
              <w:top w:w="105" w:type="dxa"/>
              <w:left w:w="147" w:type="dxa"/>
              <w:bottom w:w="105" w:type="dxa"/>
              <w:right w:w="147" w:type="dxa"/>
            </w:tcMar>
            <w:vAlign w:val="top"/>
          </w:tcPr>
          <w:p>
            <w:pPr>
              <w:keepNext w:val="0"/>
              <w:keepLines/>
              <w:pageBreakBefore w:val="0"/>
              <w:widowControl w:val="1"/>
              <w:spacing w:before="0" w:after="0" w:line="298" w:lineRule="auto"/>
            </w:pPr>
            <w:r>
              <w:rPr>
                <w:rFonts w:ascii="Calibri" w:hAnsi="Calibri" w:cs="Calibri" w:eastAsia="Calibri"/>
                <w:b/>
                <w:i w:val="0"/>
                <w:color w:val="B26A00"/>
                <w:sz w:val="17"/>
                <w:u w:val="none"/>
              </w:rPr>
              <w:t>▲  MEDIUM</w:t>
            </w:r>
          </w:p>
        </w:tc>
        <w:tc>
          <w:tcPr>
            <w:tcW w:type="dxa" w:w="4642"/>
            <w:tcBorders>
              <w:top w:val="nil"/>
              <w:left w:val="nil"/>
              <w:bottom w:val="single" w:sz="4" w:space="0" w:color="DCE3ED"/>
              <w:right w:val="nil"/>
            </w:tcBorders>
            <w:shd w:val="clear" w:color="auto" w:fill="FFFFFF"/>
            <w:tcMar>
              <w:top w:w="105" w:type="dxa"/>
              <w:left w:w="147" w:type="dxa"/>
              <w:bottom w:w="105" w:type="dxa"/>
              <w:right w:w="147"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Break cost is estimated at $4,100. Sequence step 2 after the fixed period expires, or accept the cost against the $5,278 annual saving.</w:t>
            </w:r>
          </w:p>
        </w:tc>
      </w:tr>
    </w:tbl>
    <w:p>
      <w:pPr>
        <w:keepNext w:val="0"/>
        <w:keepLines/>
        <w:pageBreakBefore w:val="0"/>
        <w:widowControl w:val="1"/>
        <w:spacing w:before="0" w:after="0" w:line="18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32"/>
          <w:sz w:val="15"/>
          <w:u w:val="none"/>
        </w:rPr>
        <w:t>What we need from you</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nil"/>
              <w:left w:val="nil"/>
              <w:bottom w:val="single" w:sz="4" w:space="0" w:color="DCE3ED"/>
              <w:right w:val="nil"/>
            </w:tcBorders>
            <w:tcMar>
              <w:top w:w="105" w:type="dxa"/>
              <w:left w:w="147" w:type="dxa"/>
              <w:bottom w:w="105" w:type="dxa"/>
              <w:right w:w="147" w:type="dxa"/>
            </w:tcMar>
          </w:tcPr>
          <w:p>
            <w:pPr>
              <w:keepNext w:val="0"/>
              <w:keepLines/>
              <w:pageBreakBefore w:val="0"/>
              <w:widowControl w:val="1"/>
              <w:spacing w:before="0" w:after="0" w:line="288" w:lineRule="auto"/>
              <w:ind w:left="240" w:hanging="240"/>
            </w:pPr>
            <w:r>
              <w:rPr>
                <w:rFonts w:ascii="Calibri" w:hAnsi="Calibri" w:cs="Calibri" w:eastAsia="Calibri"/>
                <w:b w:val="0"/>
                <w:i w:val="0"/>
                <w:color w:val="1D6FE0"/>
                <w:sz w:val="19"/>
                <w:u w:val="none"/>
              </w:rPr>
              <w:t xml:space="preserve">☐  </w:t>
            </w:r>
            <w:r>
              <w:rPr>
                <w:rFonts w:ascii="Calibri" w:hAnsi="Calibri" w:cs="Calibri" w:eastAsia="Calibri"/>
                <w:b w:val="0"/>
                <w:i w:val="0"/>
                <w:color w:val="10192A"/>
                <w:sz w:val="17"/>
                <w:u w:val="none"/>
              </w:rPr>
              <w:t>Confirm you accept the estimated $4,100 break cost.</w:t>
            </w:r>
          </w:p>
        </w:tc>
      </w:tr>
      <w:tr>
        <w:trPr>
          <w:cantSplit/>
        </w:trPr>
        <w:tc>
          <w:tcPr>
            <w:tcW w:type="dxa" w:w="10091"/>
            <w:tcBorders>
              <w:top w:val="nil"/>
              <w:left w:val="nil"/>
              <w:bottom w:val="single" w:sz="4" w:space="0" w:color="DCE3ED"/>
              <w:right w:val="nil"/>
            </w:tcBorders>
            <w:tcMar>
              <w:top w:w="105" w:type="dxa"/>
              <w:left w:w="147" w:type="dxa"/>
              <w:bottom w:w="105" w:type="dxa"/>
              <w:right w:w="147" w:type="dxa"/>
            </w:tcMar>
          </w:tcPr>
          <w:p>
            <w:pPr>
              <w:keepNext w:val="0"/>
              <w:keepLines/>
              <w:pageBreakBefore w:val="0"/>
              <w:widowControl w:val="1"/>
              <w:spacing w:before="0" w:after="0" w:line="288" w:lineRule="auto"/>
              <w:ind w:left="240" w:hanging="240"/>
            </w:pPr>
            <w:r>
              <w:rPr>
                <w:rFonts w:ascii="Calibri" w:hAnsi="Calibri" w:cs="Calibri" w:eastAsia="Calibri"/>
                <w:b w:val="0"/>
                <w:i w:val="0"/>
                <w:color w:val="1D6FE0"/>
                <w:sz w:val="19"/>
                <w:u w:val="none"/>
              </w:rPr>
              <w:t xml:space="preserve">☐  </w:t>
            </w:r>
            <w:r>
              <w:rPr>
                <w:rFonts w:ascii="Calibri" w:hAnsi="Calibri" w:cs="Calibri" w:eastAsia="Calibri"/>
                <w:b w:val="0"/>
                <w:i w:val="0"/>
                <w:color w:val="10192A"/>
                <w:sz w:val="17"/>
                <w:u w:val="none"/>
              </w:rPr>
              <w:t>Provide the last two years of tax returns for both applicants.</w:t>
            </w:r>
          </w:p>
        </w:tc>
      </w:tr>
      <w:tr>
        <w:trPr>
          <w:cantSplit/>
        </w:trPr>
        <w:tc>
          <w:tcPr>
            <w:tcW w:type="dxa" w:w="10091"/>
            <w:tcBorders>
              <w:top w:val="nil"/>
              <w:left w:val="nil"/>
              <w:bottom w:val="single" w:sz="4" w:space="0" w:color="DCE3ED"/>
              <w:right w:val="nil"/>
            </w:tcBorders>
            <w:tcMar>
              <w:top w:w="105" w:type="dxa"/>
              <w:left w:w="147" w:type="dxa"/>
              <w:bottom w:w="105" w:type="dxa"/>
              <w:right w:w="147" w:type="dxa"/>
            </w:tcMar>
          </w:tcPr>
          <w:p>
            <w:pPr>
              <w:keepNext w:val="0"/>
              <w:keepLines/>
              <w:pageBreakBefore w:val="0"/>
              <w:widowControl w:val="1"/>
              <w:spacing w:before="0" w:after="0" w:line="288" w:lineRule="auto"/>
              <w:ind w:left="240" w:hanging="240"/>
            </w:pPr>
            <w:r>
              <w:rPr>
                <w:rFonts w:ascii="Calibri" w:hAnsi="Calibri" w:cs="Calibri" w:eastAsia="Calibri"/>
                <w:b w:val="0"/>
                <w:i w:val="0"/>
                <w:color w:val="1D6FE0"/>
                <w:sz w:val="19"/>
                <w:u w:val="none"/>
              </w:rPr>
              <w:t xml:space="preserve">☐  </w:t>
            </w:r>
            <w:r>
              <w:rPr>
                <w:rFonts w:ascii="Calibri" w:hAnsi="Calibri" w:cs="Calibri" w:eastAsia="Calibri"/>
                <w:b w:val="0"/>
                <w:i w:val="0"/>
                <w:color w:val="10192A"/>
                <w:sz w:val="17"/>
                <w:u w:val="none"/>
              </w:rPr>
              <w:t>Authorise upfront valuations on all four properties.</w:t>
            </w:r>
          </w:p>
        </w:tc>
      </w:tr>
      <w:tr>
        <w:trPr>
          <w:cantSplit/>
        </w:trPr>
        <w:tc>
          <w:tcPr>
            <w:tcW w:type="dxa" w:w="10091"/>
            <w:tcBorders>
              <w:top w:val="nil"/>
              <w:left w:val="nil"/>
              <w:bottom w:val="single" w:sz="4" w:space="0" w:color="DCE3ED"/>
              <w:right w:val="nil"/>
            </w:tcBorders>
            <w:tcMar>
              <w:top w:w="105" w:type="dxa"/>
              <w:left w:w="147" w:type="dxa"/>
              <w:bottom w:w="105" w:type="dxa"/>
              <w:right w:w="147" w:type="dxa"/>
            </w:tcMar>
          </w:tcPr>
          <w:p>
            <w:pPr>
              <w:keepNext w:val="0"/>
              <w:keepLines/>
              <w:pageBreakBefore w:val="0"/>
              <w:widowControl w:val="1"/>
              <w:spacing w:before="0" w:after="0" w:line="288" w:lineRule="auto"/>
              <w:ind w:left="240" w:hanging="240"/>
            </w:pPr>
            <w:r>
              <w:rPr>
                <w:rFonts w:ascii="Calibri" w:hAnsi="Calibri" w:cs="Calibri" w:eastAsia="Calibri"/>
                <w:b w:val="0"/>
                <w:i w:val="0"/>
                <w:color w:val="1D6FE0"/>
                <w:sz w:val="19"/>
                <w:u w:val="none"/>
              </w:rPr>
              <w:t xml:space="preserve">☐  </w:t>
            </w:r>
            <w:r>
              <w:rPr>
                <w:rFonts w:ascii="Calibri" w:hAnsi="Calibri" w:cs="Calibri" w:eastAsia="Calibri"/>
                <w:b w:val="0"/>
                <w:i w:val="0"/>
                <w:color w:val="10192A"/>
                <w:sz w:val="17"/>
                <w:u w:val="none"/>
              </w:rPr>
              <w:t>Confirm the target acquisition timeline has not changed.</w:t>
            </w:r>
          </w:p>
        </w:tc>
      </w:tr>
    </w:tbl>
    <w:p>
      <w:pPr>
        <w:keepNext w:val="0"/>
        <w:keepLines/>
        <w:pageBreakBefore w:val="0"/>
        <w:widowControl w:val="1"/>
        <w:spacing w:before="0" w:after="0"/>
      </w:pPr>
      <w:r>
        <w:br w:type="page"/>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shd w:val="clear" w:color="auto" w:fill="1D6FE0"/>
            <w:tcMar>
              <w:top w:w="60" w:type="dxa"/>
              <w:left w:w="150" w:type="dxa"/>
              <w:bottom w:w="60" w:type="dxa"/>
              <w:right w:w="150" w:type="dxa"/>
            </w:tcMar>
          </w:tcPr>
          <w:p>
            <w:pPr>
              <w:keepNext/>
              <w:keepLines/>
              <w:pageBreakBefore w:val="0"/>
              <w:widowControl w:val="1"/>
              <w:spacing w:before="0" w:after="0"/>
            </w:pPr>
            <w:r>
              <w:rPr>
                <w:rFonts w:ascii="Calibri" w:hAnsi="Calibri" w:cs="Calibri" w:eastAsia="Calibri"/>
                <w:b/>
                <w:i w:val="0"/>
                <w:caps w:val="1"/>
                <w:color w:val="FFFFFF"/>
                <w:spacing w:val="40"/>
                <w:sz w:val="16"/>
                <w:u w:val="none"/>
              </w:rPr>
              <w:t>Important information</w:t>
            </w:r>
          </w:p>
        </w:tc>
      </w:tr>
      <w:tr>
        <w:trPr>
          <w:cantSplit/>
        </w:trPr>
        <w:tc>
          <w:tcPr>
            <w:tcW w:type="dxa" w:w="10091"/>
            <w:tcBorders>
              <w:top w:val="nil"/>
              <w:left w:val="nil"/>
              <w:bottom w:val="single" w:sz="4" w:space="0" w:color="DCE3ED"/>
              <w:right w:val="nil"/>
            </w:tcBorders>
            <w:shd w:val="clear" w:color="auto" w:fill="F7F9FC"/>
            <w:tcMar>
              <w:top w:w="110" w:type="dxa"/>
              <w:left w:w="150" w:type="dxa"/>
              <w:bottom w:w="110" w:type="dxa"/>
              <w:right w:w="150" w:type="dxa"/>
            </w:tcMar>
          </w:tcPr>
          <w:p>
            <w:pPr>
              <w:keepNext/>
              <w:keepLines/>
              <w:pageBreakBefore w:val="0"/>
              <w:widowControl w:val="1"/>
              <w:spacing w:before="0" w:after="0"/>
            </w:pPr>
            <w:r>
              <w:rPr>
                <w:rFonts w:ascii="Calibri" w:hAnsi="Calibri" w:cs="Calibri" w:eastAsia="Calibri"/>
                <w:b/>
                <w:i w:val="0"/>
                <w:color w:val="0C2340"/>
                <w:sz w:val="25"/>
                <w:u w:val="none"/>
              </w:rPr>
              <w:t>Disclaimer, privacy and terms</w:t>
            </w:r>
          </w:p>
        </w:tc>
      </w:tr>
    </w:tbl>
    <w:p>
      <w:pPr>
        <w:keepNext w:val="0"/>
        <w:keepLines/>
        <w:pageBreakBefore w:val="0"/>
        <w:widowControl w:val="1"/>
        <w:spacing w:before="0" w:after="0" w:line="18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Disclaimer</w:t>
      </w:r>
    </w:p>
    <w:p>
      <w:pPr>
        <w:keepNext w:val="0"/>
        <w:keepLines/>
        <w:pageBreakBefore w:val="0"/>
        <w:widowControl w:val="1"/>
        <w:spacing w:before="0" w:after="0" w:line="326" w:lineRule="auto"/>
      </w:pPr>
      <w:r>
        <w:rPr>
          <w:rFonts w:ascii="Calibri" w:hAnsi="Calibri" w:cs="Calibri" w:eastAsia="Calibri"/>
          <w:b w:val="0"/>
          <w:i w:val="0"/>
          <w:color w:val="4C5B73"/>
          <w:sz w:val="17"/>
          <w:u w:val="none"/>
        </w:rPr>
        <w:t>This document has been prepared for the named recipient only and is general in nature. It does not take into account any person's objectives, financial situation or needs, and it is not financial product, credit, tax or legal advice. Obtain your own professional advice before acting on it.</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Privacy</w:t>
      </w:r>
    </w:p>
    <w:p>
      <w:pPr>
        <w:keepNext w:val="0"/>
        <w:keepLines/>
        <w:pageBreakBefore w:val="0"/>
        <w:widowControl w:val="1"/>
        <w:spacing w:before="0" w:after="0" w:line="326" w:lineRule="auto"/>
      </w:pPr>
      <w:r>
        <w:rPr>
          <w:rFonts w:ascii="Calibri" w:hAnsi="Calibri" w:cs="Calibri" w:eastAsia="Calibri"/>
          <w:b w:val="0"/>
          <w:i w:val="0"/>
          <w:color w:val="4C5B73"/>
          <w:sz w:val="17"/>
          <w:u w:val="none"/>
        </w:rPr>
        <w:t>Personal information collected in connection with this document is handled in accordance with our privacy policy and applicable privacy law. It is used only for the purposes described in this document and for related compliance and record-keeping obligations.</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Terms of use</w:t>
      </w:r>
    </w:p>
    <w:p>
      <w:pPr>
        <w:keepNext w:val="0"/>
        <w:keepLines/>
        <w:pageBreakBefore w:val="0"/>
        <w:widowControl w:val="1"/>
        <w:spacing w:before="0" w:after="0" w:line="326" w:lineRule="auto"/>
      </w:pPr>
      <w:r>
        <w:rPr>
          <w:rFonts w:ascii="Calibri" w:hAnsi="Calibri" w:cs="Calibri" w:eastAsia="Calibri"/>
          <w:b w:val="0"/>
          <w:i w:val="0"/>
          <w:color w:val="4C5B73"/>
          <w:sz w:val="17"/>
          <w:u w:val="none"/>
        </w:rPr>
        <w:t>This document remains our property and is provided in confidence. It may not be reproduced, forwarded or relied upon by any person other than the named recipient without our written consent.</w:t>
      </w:r>
    </w:p>
    <w:p>
      <w:pPr>
        <w:keepNext w:val="0"/>
        <w:keepLines/>
        <w:pageBreakBefore w:val="0"/>
        <w:widowControl w:val="1"/>
        <w:spacing w:before="0" w:after="0" w:line="100" w:lineRule="exact"/>
      </w:pPr>
      <w:r>
        <w:rPr>
          <w:sz w:val="2"/>
        </w:rPr>
      </w:r>
    </w:p>
    <w:sectPr w:rsidR="00FC693F" w:rsidRPr="0006063C" w:rsidSect="00034616">
      <w:headerReference w:type="first" r:id="rId9"/>
      <w:headerReference w:type="default" r:id="rId10"/>
      <w:footerReference w:type="default" r:id="rId11"/>
      <w:footerReference w:type="first" r:id="rId12"/>
      <w:pgSz w:w="11906" w:h="16838"/>
      <w:pgMar w:top="1361" w:right="907" w:bottom="1134" w:left="90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nil"/>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Calibri" w:hAnsi="Calibri" w:cs="Calibri" w:eastAsia="Calibri"/>
              <w:b/>
              <w:i w:val="0"/>
              <w:caps w:val="1"/>
              <w:color w:val="1D6FE0"/>
              <w:spacing w:val="32"/>
              <w:sz w:val="14"/>
              <w:u w:val="none"/>
            </w:rPr>
            <w:t>COMMERCIAL IN CONFIDENCE</w:t>
          </w:r>
          <w:r>
            <w:rPr>
              <w:rFonts w:ascii="Calibri" w:hAnsi="Calibri" w:cs="Calibri" w:eastAsia="Calibri"/>
              <w:b w:val="0"/>
              <w:i w:val="0"/>
              <w:color w:val="8493A8"/>
              <w:sz w:val="14"/>
              <w:u w:val="none"/>
            </w:rPr>
            <w:t xml:space="preserve">    APR-0418-01</w:t>
          </w:r>
        </w:p>
      </w:tc>
      <w:tc>
        <w:tcPr>
          <w:tcW w:type="dxa" w:w="4440"/>
          <w:tcBorders>
            <w:top w:val="nil"/>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v1.0</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nil"/>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Calibri" w:hAnsi="Calibri" w:cs="Calibri" w:eastAsia="Calibri"/>
              <w:b/>
              <w:i w:val="0"/>
              <w:caps w:val="1"/>
              <w:color w:val="1D6FE0"/>
              <w:spacing w:val="32"/>
              <w:sz w:val="14"/>
              <w:u w:val="none"/>
            </w:rPr>
            <w:t>COMMERCIAL IN CONFIDENCE</w:t>
          </w:r>
          <w:r>
            <w:rPr>
              <w:rFonts w:ascii="Calibri" w:hAnsi="Calibri" w:cs="Calibri" w:eastAsia="Calibri"/>
              <w:b w:val="0"/>
              <w:i w:val="0"/>
              <w:color w:val="8493A8"/>
              <w:sz w:val="14"/>
              <w:u w:val="none"/>
            </w:rPr>
            <w:t xml:space="preserve">    APR-0418-01</w:t>
          </w:r>
        </w:p>
      </w:tc>
      <w:tc>
        <w:tcPr>
          <w:tcW w:type="dxa" w:w="4440"/>
          <w:tcBorders>
            <w:top w:val="nil"/>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v1.0</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nil"/>
            <w:left w:val="nil"/>
            <w:bottom w:val="single" w:sz="4" w:space="0" w:color="DCE3ED"/>
            <w:right w:val="nil"/>
          </w:tcBorders>
          <w:tcMar>
            <w:top w:w="0" w:type="dxa"/>
            <w:left w:w="0" w:type="dxa"/>
            <w:bottom w:w="70" w:type="dxa"/>
            <w:right w:w="0" w:type="dxa"/>
          </w:tcMar>
        </w:tcPr>
        <w:p>
          <w:pPr>
            <w:keepNext w:val="0"/>
            <w:keepLines/>
            <w:pageBreakBefore w:val="0"/>
            <w:widowControl w:val="1"/>
            <w:spacing w:before="0" w:after="0"/>
          </w:pPr>
          <w:r>
            <w:rPr>
              <w:rFonts w:ascii="Calibri" w:hAnsi="Calibri" w:cs="Calibri" w:eastAsia="Calibri"/>
              <w:b/>
              <w:i w:val="0"/>
              <w:caps w:val="1"/>
              <w:color w:val="4C5B73"/>
              <w:spacing w:val="32"/>
              <w:sz w:val="14"/>
              <w:u w:val="none"/>
            </w:rPr>
            <w:t>Aurixa Systems</w:t>
          </w:r>
        </w:p>
      </w:tc>
      <w:tc>
        <w:tcPr>
          <w:tcW w:type="dxa" w:w="5046"/>
          <w:tcBorders>
            <w:top w:val="nil"/>
            <w:left w:val="nil"/>
            <w:bottom w:val="single" w:sz="4" w:space="0" w:color="DCE3ED"/>
            <w:right w:val="nil"/>
          </w:tcBorders>
          <w:tcMar>
            <w:top w:w="0" w:type="dxa"/>
            <w:left w:w="0" w:type="dxa"/>
            <w:bottom w:w="70" w:type="dxa"/>
            <w:right w:w="0" w:type="dxa"/>
          </w:tcMar>
        </w:tcPr>
        <w:p>
          <w:pPr>
            <w:keepNext w:val="0"/>
            <w:keepLines/>
            <w:pageBreakBefore w:val="0"/>
            <w:widowControl w:val="1"/>
            <w:spacing w:before="0" w:after="0"/>
            <w:jc w:val="right"/>
          </w:pPr>
          <w:r>
            <w:rPr>
              <w:rFonts w:ascii="Calibri" w:hAnsi="Calibri" w:cs="Calibri" w:eastAsia="Calibri"/>
              <w:b/>
              <w:i w:val="0"/>
              <w:caps w:val="1"/>
              <w:color w:val="4C5B73"/>
              <w:spacing w:val="32"/>
              <w:sz w:val="14"/>
              <w:u w:val="none"/>
            </w:rPr>
            <w:t>Finance Strategy Report</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26" w:lineRule="auto"/>
    </w:pPr>
    <w:rPr>
      <w:rFonts w:ascii="Calibri" w:hAnsi="Calibri" w:cs="Calibri" w:eastAsia="Calibri"/>
      <w:color w:val="1019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Finance Strategy Report</dc:title>
  <dc:subject>The client's whole debt strategy: current structure, target structure, sequencing, and the funding runway for planned acquisitions.</dc:subject>
  <dc:creator>Aurixa Systems</dc:creator>
  <cp:keywords>Finance strategy, Debt structure, Funding plan, Finance &amp; Lending, Aurixa</cp:keywords>
  <dc:description>Generated by the Aurixa Command Center template library (scripts/aurixa-templates). Edit the builder and regenerate rather than editing this file by hand.</dc:description>
  <cp:lastModifiedBy>Aurixa Systems</cp:lastModifiedBy>
  <cp:revision>1</cp:revision>
  <dcterms:created xsi:type="dcterms:W3CDTF">2013-12-23T23:15:00Z</dcterms:created>
  <dcterms:modified xsi:type="dcterms:W3CDTF">2013-12-23T23:15:00Z</dcterms:modified>
  <cp:category>Aurixa Command Center template</cp:category>
</cp:coreProperties>
</file>