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037"/>
        <w:gridCol w:w="6055"/>
      </w:tblGrid>
      <w:tr>
        <w:trPr>
          <w:cantSplit/>
          <w:trHeight w:val="8504" w:hRule="atLeast"/>
        </w:trPr>
        <w:tc>
          <w:tcPr>
            <w:tcW w:type="dxa" w:w="4037"/>
            <w:shd w:val="clear" w:color="auto" w:fill="0C2340"/>
            <w:tcMar>
              <w:top w:w="340" w:type="dxa"/>
              <w:left w:w="240" w:type="dxa"/>
              <w:bottom w:w="340" w:type="dxa"/>
              <w:right w:w="240" w:type="dxa"/>
            </w:tcMar>
            <w:vAlign w:val="top"/>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676"/>
            </w:tblGrid>
            <w:tr>
              <w:trPr>
                <w:cantSplit/>
              </w:trPr>
              <w:tc>
                <w:tcPr>
                  <w:tcW w:type="dxa" w:w="2676"/>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44"/>
                      <w:sz w:val="14"/>
                      <w:u w:val="none"/>
                    </w:rPr>
                    <w:t>[  AURIXA SYSTEMS  ]</w:t>
                  </w:r>
                </w:p>
              </w:tc>
            </w:tr>
          </w:tbl>
          <w:p/>
          <w:p>
            <w:pPr>
              <w:keepNext w:val="0"/>
              <w:keepLines/>
              <w:pageBreakBefore w:val="0"/>
              <w:widowControl w:val="1"/>
              <w:spacing w:before="0" w:after="0" w:line="280" w:lineRule="exact"/>
            </w:pPr>
            <w:r>
              <w:rPr>
                <w:sz w:val="2"/>
              </w:rPr>
            </w:r>
          </w:p>
          <w:p>
            <w:pPr>
              <w:keepNext w:val="0"/>
              <w:keepLines/>
              <w:pageBreakBefore w:val="0"/>
              <w:widowControl w:val="1"/>
              <w:spacing w:before="0" w:after="100"/>
            </w:pPr>
            <w:r>
              <w:rPr>
                <w:rFonts w:ascii="Calibri" w:hAnsi="Calibri" w:cs="Calibri" w:eastAsia="Calibri"/>
                <w:b/>
                <w:i w:val="0"/>
                <w:caps w:val="1"/>
                <w:color w:val="1D6FE0"/>
                <w:spacing w:val="40"/>
                <w:sz w:val="15"/>
                <w:u w:val="none"/>
              </w:rPr>
              <w:t>Aurixa Systems</w:t>
            </w:r>
          </w:p>
          <w:p>
            <w:pPr>
              <w:keepNext w:val="0"/>
              <w:keepLines/>
              <w:pageBreakBefore w:val="0"/>
              <w:widowControl w:val="1"/>
              <w:spacing w:before="0" w:after="0" w:line="336" w:lineRule="auto"/>
            </w:pPr>
            <w:r>
              <w:rPr>
                <w:rFonts w:ascii="Calibri" w:hAnsi="Calibri" w:cs="Calibri" w:eastAsia="Calibri"/>
                <w:b w:val="0"/>
                <w:i w:val="0"/>
                <w:color w:val="AFC0D6"/>
                <w:sz w:val="14"/>
                <w:u w:val="none"/>
              </w:rPr>
              <w:t>INTELLIGENT PROPERTY &amp; FINANCE INFRASTRUCTURE</w:t>
            </w:r>
          </w:p>
          <w:p>
            <w:pPr>
              <w:keepNext w:val="0"/>
              <w:keepLines/>
              <w:pageBreakBefore w:val="0"/>
              <w:widowControl w:val="1"/>
              <w:spacing w:before="0" w:after="0" w:line="240" w:lineRule="exact"/>
            </w:pPr>
            <w:r>
              <w:rPr>
                <w:sz w:val="2"/>
              </w:rPr>
            </w:r>
          </w:p>
          <w:p>
            <w:pPr>
              <w:keepNext w:val="0"/>
              <w:keepLines/>
              <w:pageBreakBefore w:val="0"/>
              <w:widowControl w:val="1"/>
              <w:spacing w:before="120" w:after="20"/>
            </w:pPr>
            <w:r>
              <w:rPr>
                <w:rFonts w:ascii="Calibri" w:hAnsi="Calibri" w:cs="Calibri" w:eastAsia="Calibri"/>
                <w:b/>
                <w:i w:val="0"/>
                <w:caps w:val="1"/>
                <w:color w:val="1D6FE0"/>
                <w:spacing w:val="28"/>
                <w:sz w:val="14"/>
                <w:u w:val="none"/>
              </w:rPr>
              <w:t>PREPARED FOR</w:t>
            </w:r>
          </w:p>
          <w:p>
            <w:pPr>
              <w:keepNext w:val="0"/>
              <w:keepLines/>
              <w:pageBreakBefore w:val="0"/>
              <w:widowControl w:val="1"/>
              <w:spacing w:before="0" w:after="0"/>
            </w:pPr>
            <w:r>
              <w:rPr>
                <w:rFonts w:ascii="Calibri" w:hAnsi="Calibri" w:cs="Calibri" w:eastAsia="Calibri"/>
                <w:b w:val="0"/>
                <w:i w:val="0"/>
                <w:color w:val="FFFFFF"/>
                <w:sz w:val="17"/>
                <w:u w:val="none"/>
              </w:rPr>
              <w:t>J. &amp; S. Nguyen</w:t>
            </w:r>
          </w:p>
          <w:p>
            <w:pPr>
              <w:keepNext w:val="0"/>
              <w:keepLines/>
              <w:pageBreakBefore w:val="0"/>
              <w:widowControl w:val="1"/>
              <w:spacing w:before="120" w:after="20"/>
            </w:pPr>
            <w:r>
              <w:rPr>
                <w:rFonts w:ascii="Calibri" w:hAnsi="Calibri" w:cs="Calibri" w:eastAsia="Calibri"/>
                <w:b/>
                <w:i w:val="0"/>
                <w:caps w:val="1"/>
                <w:color w:val="1D6FE0"/>
                <w:spacing w:val="28"/>
                <w:sz w:val="14"/>
                <w:u w:val="none"/>
              </w:rPr>
              <w:t>PREPARED BY</w:t>
            </w:r>
          </w:p>
          <w:p>
            <w:pPr>
              <w:keepNext w:val="0"/>
              <w:keepLines/>
              <w:pageBreakBefore w:val="0"/>
              <w:widowControl w:val="1"/>
              <w:spacing w:before="0" w:after="0"/>
            </w:pPr>
            <w:r>
              <w:rPr>
                <w:rFonts w:ascii="Calibri" w:hAnsi="Calibri" w:cs="Calibri" w:eastAsia="Calibri"/>
                <w:b w:val="0"/>
                <w:i w:val="0"/>
                <w:color w:val="FFFFFF"/>
                <w:sz w:val="17"/>
                <w:u w:val="none"/>
              </w:rPr>
              <w:t>A. Nguyen</w:t>
            </w:r>
          </w:p>
          <w:p>
            <w:pPr>
              <w:keepNext w:val="0"/>
              <w:keepLines/>
              <w:pageBreakBefore w:val="0"/>
              <w:widowControl w:val="1"/>
              <w:spacing w:before="120" w:after="20"/>
            </w:pPr>
            <w:r>
              <w:rPr>
                <w:rFonts w:ascii="Calibri" w:hAnsi="Calibri" w:cs="Calibri" w:eastAsia="Calibri"/>
                <w:b/>
                <w:i w:val="0"/>
                <w:caps w:val="1"/>
                <w:color w:val="1D6FE0"/>
                <w:spacing w:val="28"/>
                <w:sz w:val="14"/>
                <w:u w:val="none"/>
              </w:rPr>
              <w:t>ISSUED</w:t>
            </w:r>
          </w:p>
          <w:p>
            <w:pPr>
              <w:keepNext w:val="0"/>
              <w:keepLines/>
              <w:pageBreakBefore w:val="0"/>
              <w:widowControl w:val="1"/>
              <w:spacing w:before="0" w:after="0"/>
            </w:pPr>
            <w:r>
              <w:rPr>
                <w:rFonts w:ascii="Calibri" w:hAnsi="Calibri" w:cs="Calibri" w:eastAsia="Calibri"/>
                <w:b w:val="0"/>
                <w:i w:val="0"/>
                <w:color w:val="FFFFFF"/>
                <w:sz w:val="17"/>
                <w:u w:val="none"/>
              </w:rPr>
              <w:t>31 July 2026</w:t>
            </w:r>
          </w:p>
        </w:tc>
        <w:tc>
          <w:tcPr>
            <w:tcW w:type="dxa" w:w="6055"/>
            <w:shd w:val="clear" w:color="auto" w:fill="FFFFFF"/>
            <w:tcMar>
              <w:top w:w="340" w:type="dxa"/>
              <w:left w:w="260" w:type="dxa"/>
              <w:bottom w:w="340" w:type="dxa"/>
              <w:right w:w="100" w:type="dxa"/>
            </w:tcMar>
            <w:vAlign w:val="center"/>
          </w:tcPr>
          <w:p>
            <w:pPr>
              <w:keepNext w:val="0"/>
              <w:keepLines/>
              <w:pageBreakBefore w:val="0"/>
              <w:widowControl w:val="1"/>
              <w:spacing w:before="0" w:after="120"/>
            </w:pPr>
            <w:r>
              <w:rPr>
                <w:rFonts w:ascii="Calibri" w:hAnsi="Calibri" w:cs="Calibri" w:eastAsia="Calibri"/>
                <w:b/>
                <w:i w:val="0"/>
                <w:caps w:val="1"/>
                <w:color w:val="1D6FE0"/>
                <w:spacing w:val="60"/>
                <w:sz w:val="16"/>
                <w:u w:val="none"/>
              </w:rPr>
              <w:t>Advisory recommendation</w:t>
            </w:r>
          </w:p>
          <w:p>
            <w:pPr>
              <w:keepNext/>
              <w:keepLines/>
              <w:pageBreakBefore w:val="0"/>
              <w:widowControl w:val="1"/>
              <w:spacing w:before="0" w:after="160" w:line="240" w:lineRule="auto"/>
            </w:pPr>
            <w:r>
              <w:rPr>
                <w:rFonts w:ascii="Georgia" w:hAnsi="Georgia" w:cs="Georgia" w:eastAsia="Georgia"/>
                <w:b/>
                <w:i w:val="0"/>
                <w:color w:val="0C2340"/>
                <w:spacing w:val="2"/>
                <w:sz w:val="60"/>
                <w:u w:val="none"/>
              </w:rPr>
              <w:t>Property Acquisition Recommendation</w:t>
            </w:r>
          </w:p>
          <w:p>
            <w:pPr>
              <w:keepNext w:val="0"/>
              <w:keepLines/>
              <w:pageBreakBefore w:val="0"/>
              <w:widowControl w:val="1"/>
              <w:pBdr>
                <w:bottom w:val="single" w:sz="12" w:space="1" w:color="1D6FE0"/>
              </w:pBdr>
              <w:spacing w:before="0" w:after="160" w:line="20" w:lineRule="exact"/>
            </w:pPr>
            <w:r>
              <w:rPr>
                <w:sz w:val="2"/>
              </w:rPr>
            </w:r>
          </w:p>
          <w:p>
            <w:pPr>
              <w:keepNext w:val="0"/>
              <w:keepLines/>
              <w:pageBreakBefore w:val="0"/>
              <w:widowControl w:val="1"/>
              <w:spacing w:before="0" w:after="0" w:line="336" w:lineRule="auto"/>
            </w:pPr>
            <w:r>
              <w:rPr>
                <w:rFonts w:ascii="Calibri" w:hAnsi="Calibri" w:cs="Calibri" w:eastAsia="Calibri"/>
                <w:b w:val="0"/>
                <w:i w:val="0"/>
                <w:color w:val="4C5B73"/>
                <w:sz w:val="22"/>
                <w:u w:val="none"/>
              </w:rPr>
              <w:t>Our recommendation on the property we believe you should acquire, the reasoning behind it and the strategy to secure it.</w:t>
            </w:r>
          </w:p>
          <w:p>
            <w:pPr>
              <w:keepNext w:val="0"/>
              <w:keepLines/>
              <w:pageBreakBefore w:val="0"/>
              <w:widowControl w:val="1"/>
              <w:spacing w:before="0" w:after="0" w:line="200" w:lineRule="exact"/>
            </w:pPr>
            <w:r>
              <w:rPr>
                <w:sz w:val="2"/>
              </w:rPr>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2517"/>
              <w:gridCol w:w="2517"/>
            </w:tblGrid>
            <w:tr>
              <w:trPr>
                <w:cantSplit/>
              </w:trPr>
              <w:tc>
                <w:tcPr>
                  <w:tcW w:type="dxa" w:w="2517"/>
                  <w:tcBorders>
                    <w:top w:val="single" w:sz="4" w:space="0" w:color="C2CDDC"/>
                    <w:left w:val="single" w:sz="4" w:space="0" w:color="C2CDDC"/>
                    <w:bottom w:val="single" w:sz="4" w:space="0" w:color="C2CDDC"/>
                    <w:right w:val="single" w:sz="4" w:space="0" w:color="C2CDDC"/>
                  </w:tcBorders>
                  <w:shd w:val="clear" w:color="auto" w:fill="DCE8FB"/>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0C2340"/>
                      <w:spacing w:val="28"/>
                      <w:sz w:val="14"/>
                      <w:u w:val="none"/>
                    </w:rPr>
                    <w:t>ADVISORY</w:t>
                  </w:r>
                </w:p>
              </w:tc>
              <w:tc>
                <w:tcPr>
                  <w:tcW w:type="dxa" w:w="2517"/>
                  <w:tcBorders>
                    <w:top w:val="single" w:sz="4" w:space="0" w:color="C2CDDC"/>
                    <w:left w:val="single" w:sz="4" w:space="0" w:color="C2CDDC"/>
                    <w:bottom w:val="single" w:sz="4" w:space="0" w:color="C2CDDC"/>
                    <w:right w:val="single" w:sz="4" w:space="0" w:color="C2CDDC"/>
                  </w:tcBorders>
                  <w:shd w:val="clear" w:color="auto" w:fill="DCE8FB"/>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0C2340"/>
                      <w:spacing w:val="28"/>
                      <w:sz w:val="14"/>
                      <w:u w:val="none"/>
                    </w:rPr>
                    <w:t>DECISION-READY</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212" w:type="dxa"/>
              <w:left w:w="247" w:type="dxa"/>
              <w:bottom w:w="212" w:type="dxa"/>
              <w:right w:w="247" w:type="dxa"/>
            </w:tcMar>
          </w:tcPr>
          <w:p>
            <w:pPr>
              <w:keepNext/>
              <w:keepLines/>
              <w:pageBreakBefore w:val="0"/>
              <w:widowControl w:val="1"/>
              <w:spacing w:before="0" w:after="100"/>
            </w:pPr>
            <w:r>
              <w:rPr>
                <w:rFonts w:ascii="Calibri" w:hAnsi="Calibri" w:cs="Calibri" w:eastAsia="Calibri"/>
                <w:b/>
                <w:i w:val="0"/>
                <w:caps w:val="1"/>
                <w:color w:val="1D6FE0"/>
                <w:spacing w:val="36"/>
                <w:sz w:val="15"/>
                <w:u w:val="none"/>
              </w:rPr>
              <w:t>OUR RECOMMENDATION</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Georgia" w:hAnsi="Georgia" w:cs="Georgia" w:eastAsia="Georgia"/>
                <w:b/>
                <w:i w:val="0"/>
                <w:color w:val="0C2340"/>
                <w:sz w:val="22"/>
                <w:u w:val="none"/>
              </w:rPr>
              <w:t>Acquire 12 Example Street, Northbridge at or below $865,000 on a 42-day settlement with a five-day building and pest condition.</w:t>
            </w:r>
          </w:p>
          <w:p>
            <w:pPr>
              <w:keepNext w:val="0"/>
              <w:keepLines/>
              <w:pageBreakBefore w:val="0"/>
              <w:widowControl w:val="1"/>
              <w:spacing w:before="0" w:after="0" w:line="341" w:lineRule="auto"/>
            </w:pPr>
            <w:r>
              <w:rPr>
                <w:rFonts w:ascii="Calibri" w:hAnsi="Calibri" w:cs="Calibri" w:eastAsia="Calibri"/>
                <w:b w:val="0"/>
                <w:i w:val="0"/>
                <w:color w:val="10192A"/>
                <w:sz w:val="17"/>
                <w:u w:val="none"/>
              </w:rPr>
              <w:t>Of the eleven properties assessed against your brief this quarter, this is the only one that satisfies every stated requirement without compromise on land size, and it does so inside your budget.</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Next steps</w:t>
            </w:r>
          </w:p>
          <w:p>
            <w:pPr>
              <w:keepNext w:val="0"/>
              <w:keepLines/>
              <w:pageBreakBefore w:val="0"/>
              <w:widowControl w:val="1"/>
              <w:tabs>
                <w:tab w:val="left" w:pos="320"/>
              </w:tabs>
              <w:spacing w:before="0" w:after="0" w:line="341"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Confirm your authority to offer at the recommended level.</w:t>
            </w:r>
          </w:p>
          <w:p>
            <w:pPr>
              <w:keepNext w:val="0"/>
              <w:keepLines/>
              <w:pageBreakBefore w:val="0"/>
              <w:widowControl w:val="1"/>
              <w:tabs>
                <w:tab w:val="left" w:pos="320"/>
              </w:tabs>
              <w:spacing w:before="80" w:after="0" w:line="341"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We issue the offer and manage negotiation.</w:t>
            </w:r>
          </w:p>
          <w:p>
            <w:pPr>
              <w:keepNext w:val="0"/>
              <w:keepLines/>
              <w:pageBreakBefore w:val="0"/>
              <w:widowControl w:val="1"/>
              <w:tabs>
                <w:tab w:val="left" w:pos="320"/>
              </w:tabs>
              <w:spacing w:before="80" w:after="0" w:line="341"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Building and pest inspections are booked within 48 hours of acceptance.</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01   </w:t>
      </w:r>
      <w:r>
        <w:rPr>
          <w:rFonts w:ascii="Georgia" w:hAnsi="Georgia" w:cs="Georgia" w:eastAsia="Georgia"/>
          <w:b w:val="0"/>
          <w:i w:val="0"/>
          <w:color w:val="0C2340"/>
          <w:spacing w:val="2"/>
          <w:sz w:val="34"/>
          <w:u w:val="none"/>
        </w:rPr>
        <w:t>Why this property</w:t>
      </w:r>
    </w:p>
    <w:p>
      <w:pPr>
        <w:keepNext/>
        <w:keepLines/>
        <w:pageBreakBefore w:val="0"/>
        <w:widowControl w:val="1"/>
        <w:spacing w:before="0" w:after="100"/>
      </w:pPr>
      <w:r>
        <w:rPr>
          <w:rFonts w:ascii="Calibri" w:hAnsi="Calibri" w:cs="Calibri" w:eastAsia="Calibri"/>
          <w:b/>
          <w:i w:val="0"/>
          <w:caps w:val="1"/>
          <w:color w:val="4C5B73"/>
          <w:spacing w:val="36"/>
          <w:sz w:val="15"/>
          <w:u w:val="none"/>
        </w:rPr>
        <w:t>The case</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212" w:type="dxa"/>
              <w:left w:w="247" w:type="dxa"/>
              <w:bottom w:w="212" w:type="dxa"/>
              <w:right w:w="247" w:type="dxa"/>
            </w:tcMar>
          </w:tcPr>
          <w:p>
            <w:pPr>
              <w:keepNext/>
              <w:keepLines/>
              <w:pageBreakBefore w:val="0"/>
              <w:widowControl w:val="1"/>
              <w:spacing w:before="0" w:after="80"/>
            </w:pPr>
            <w:r>
              <w:rPr>
                <w:rFonts w:ascii="Calibri" w:hAnsi="Calibri" w:cs="Calibri" w:eastAsia="Calibri"/>
                <w:b/>
                <w:i w:val="0"/>
                <w:caps w:val="1"/>
                <w:color w:val="1D6FE0"/>
                <w:spacing w:val="36"/>
                <w:sz w:val="15"/>
                <w:u w:val="none"/>
              </w:rPr>
              <w:t>Summary</w:t>
            </w:r>
          </w:p>
          <w:p>
            <w:pPr>
              <w:keepNext/>
              <w:keepLines/>
              <w:pageBreakBefore w:val="0"/>
              <w:widowControl w:val="1"/>
              <w:spacing w:before="0" w:after="120" w:line="293" w:lineRule="auto"/>
            </w:pPr>
            <w:r>
              <w:rPr>
                <w:rFonts w:ascii="Georgia" w:hAnsi="Georgia" w:cs="Georgia" w:eastAsia="Georgia"/>
                <w:b/>
                <w:i w:val="0"/>
                <w:color w:val="0C2340"/>
                <w:sz w:val="23"/>
                <w:u w:val="none"/>
              </w:rPr>
              <w:t>It meets every requirement in your brief, at a price supported by four comparable sales.</w:t>
            </w:r>
          </w:p>
          <w:p>
            <w:pPr>
              <w:keepNext w:val="0"/>
              <w:keepLines/>
              <w:pageBreakBefore w:val="0"/>
              <w:widowControl w:val="1"/>
              <w:spacing w:before="0" w:after="0" w:line="341" w:lineRule="auto"/>
            </w:pPr>
            <w:r>
              <w:rPr>
                <w:rFonts w:ascii="Calibri" w:hAnsi="Calibri" w:cs="Calibri" w:eastAsia="Calibri"/>
                <w:b w:val="0"/>
                <w:i w:val="0"/>
                <w:color w:val="10192A"/>
                <w:sz w:val="19"/>
                <w:u w:val="none"/>
              </w:rPr>
              <w:t>Your brief set a firm minimum of 500m² of land, a maximum of 12km from the CBD, and a gross yield above 4.2%. Nine of the eleven properties we assessed failed on land size alone. Of the two that qualified, this property is the better positioned and the more defensible on price.</w:t>
            </w:r>
          </w:p>
          <w:p>
            <w:pPr>
              <w:keepNext w:val="0"/>
              <w:keepLines/>
              <w:pageBreakBefore w:val="0"/>
              <w:widowControl w:val="1"/>
              <w:spacing w:before="100" w:after="0" w:line="341" w:lineRule="auto"/>
            </w:pPr>
            <w:r>
              <w:rPr>
                <w:rFonts w:ascii="Calibri" w:hAnsi="Calibri" w:cs="Calibri" w:eastAsia="Calibri"/>
                <w:b w:val="0"/>
                <w:i w:val="0"/>
                <w:color w:val="10192A"/>
                <w:sz w:val="19"/>
                <w:u w:val="none"/>
              </w:rPr>
              <w:t>The seller's circumstances favour a shorter settlement, which gives us a genuine non-price lever in the negotiation. We believe that lever is worth between $15,000 and $25,000 against the guide.</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02   </w:t>
      </w:r>
      <w:r>
        <w:rPr>
          <w:rFonts w:ascii="Georgia" w:hAnsi="Georgia" w:cs="Georgia" w:eastAsia="Georgia"/>
          <w:b w:val="0"/>
          <w:i w:val="0"/>
          <w:color w:val="0C2340"/>
          <w:spacing w:val="2"/>
          <w:sz w:val="34"/>
          <w:u w:val="none"/>
        </w:rPr>
        <w:t>Alignment to your brief</w:t>
      </w:r>
    </w:p>
    <w:p>
      <w:pPr>
        <w:keepNext/>
        <w:keepLines/>
        <w:pageBreakBefore w:val="0"/>
        <w:widowControl w:val="1"/>
        <w:spacing w:before="0" w:after="100"/>
      </w:pPr>
      <w:r>
        <w:rPr>
          <w:rFonts w:ascii="Calibri" w:hAnsi="Calibri" w:cs="Calibri" w:eastAsia="Calibri"/>
          <w:b/>
          <w:i w:val="0"/>
          <w:caps w:val="1"/>
          <w:color w:val="4C5B73"/>
          <w:spacing w:val="36"/>
          <w:sz w:val="15"/>
          <w:u w:val="none"/>
        </w:rPr>
        <w:t>Requirement by requirement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Your brief against this property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Your brief against this property"/>
        <w:tblDescription w:val="Compares: Your requirement, This property"/>
      </w:tblPr>
      <w:tblGrid>
        <w:gridCol w:w="2624"/>
        <w:gridCol w:w="3734"/>
        <w:gridCol w:w="3734"/>
      </w:tblGrid>
      <w:tr>
        <w:trPr>
          <w:cantSplit/>
          <w:trHeight w:val="510" w:hRule="atLeast"/>
          <w:tblHeader/>
        </w:trPr>
        <w:tc>
          <w:tcPr>
            <w:tcW w:type="dxa" w:w="2624"/>
            <w:tcBorders>
              <w:top w:val="nil"/>
              <w:left w:val="nil"/>
              <w:bottom w:val="single" w:sz="8" w:space="0" w:color="1D6FE0"/>
              <w:right w:val="single" w:sz="16" w:space="0" w:color="FFFFFF"/>
            </w:tcBorders>
            <w:shd w:val="clear" w:color="auto" w:fill="0C2340"/>
            <w:tcMar>
              <w:top w:w="118" w:type="dxa"/>
              <w:left w:w="165" w:type="dxa"/>
              <w:bottom w:w="118" w:type="dxa"/>
              <w:right w:w="165" w:type="dxa"/>
            </w:tcMar>
            <w:vAlign w:val="center"/>
          </w:tcPr>
          <w:p>
            <w:pPr>
              <w:keepNext w:val="0"/>
              <w:keepLines/>
              <w:pageBreakBefore w:val="0"/>
              <w:widowControl w:val="1"/>
              <w:spacing w:before="0" w:after="0" w:line="274" w:lineRule="auto"/>
            </w:pPr>
          </w:p>
        </w:tc>
        <w:tc>
          <w:tcPr>
            <w:tcW w:type="dxa" w:w="3734"/>
            <w:tcBorders>
              <w:top w:val="nil"/>
              <w:left w:val="nil"/>
              <w:bottom w:val="single" w:sz="8" w:space="0" w:color="1D6FE0"/>
              <w:right w:val="single" w:sz="16" w:space="0" w:color="FFFFFF"/>
            </w:tcBorders>
            <w:shd w:val="clear" w:color="auto" w:fill="0C2340"/>
            <w:tcMar>
              <w:top w:w="118" w:type="dxa"/>
              <w:left w:w="165" w:type="dxa"/>
              <w:bottom w:w="118" w:type="dxa"/>
              <w:right w:w="165"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Your requirement</w:t>
            </w:r>
          </w:p>
        </w:tc>
        <w:tc>
          <w:tcPr>
            <w:tcW w:type="dxa" w:w="3734"/>
            <w:tcBorders>
              <w:top w:val="nil"/>
              <w:left w:val="nil"/>
              <w:bottom w:val="single" w:sz="8" w:space="0" w:color="1D6FE0"/>
              <w:right w:val="nil"/>
            </w:tcBorders>
            <w:shd w:val="clear" w:color="auto" w:fill="1D6FE0"/>
            <w:tcMar>
              <w:top w:w="118" w:type="dxa"/>
              <w:left w:w="165" w:type="dxa"/>
              <w:bottom w:w="118" w:type="dxa"/>
              <w:right w:w="165"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This property</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Land size</w:t>
            </w:r>
          </w:p>
        </w:tc>
        <w:tc>
          <w:tcPr>
            <w:tcW w:type="dxa" w:w="3734"/>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Minimum 500 m²</w:t>
            </w:r>
          </w:p>
        </w:tc>
        <w:tc>
          <w:tcPr>
            <w:tcW w:type="dxa" w:w="3734"/>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512 m² ✔</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Distance to CBD</w:t>
            </w:r>
          </w:p>
        </w:tc>
        <w:tc>
          <w:tcPr>
            <w:tcW w:type="dxa" w:w="3734"/>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Within 12 km</w:t>
            </w:r>
          </w:p>
        </w:tc>
        <w:tc>
          <w:tcPr>
            <w:tcW w:type="dxa" w:w="3734"/>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11.2 km ✔</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Gross yield</w:t>
            </w:r>
          </w:p>
        </w:tc>
        <w:tc>
          <w:tcPr>
            <w:tcW w:type="dxa" w:w="3734"/>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Above 4.2%</w:t>
            </w:r>
          </w:p>
        </w:tc>
        <w:tc>
          <w:tcPr>
            <w:tcW w:type="dxa" w:w="3734"/>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4.6% ✔</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Budget</w:t>
            </w:r>
          </w:p>
        </w:tc>
        <w:tc>
          <w:tcPr>
            <w:tcW w:type="dxa" w:w="3734"/>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Up to $900,000</w:t>
            </w:r>
          </w:p>
        </w:tc>
        <w:tc>
          <w:tcPr>
            <w:tcW w:type="dxa" w:w="3734"/>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$865,000 ✔</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Bedrooms</w:t>
            </w:r>
          </w:p>
        </w:tc>
        <w:tc>
          <w:tcPr>
            <w:tcW w:type="dxa" w:w="3734"/>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 or more</w:t>
            </w:r>
          </w:p>
        </w:tc>
        <w:tc>
          <w:tcPr>
            <w:tcW w:type="dxa" w:w="3734"/>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 ✔</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Condition</w:t>
            </w:r>
          </w:p>
        </w:tc>
        <w:tc>
          <w:tcPr>
            <w:tcW w:type="dxa" w:w="3734"/>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 major structural work</w:t>
            </w:r>
          </w:p>
        </w:tc>
        <w:tc>
          <w:tcPr>
            <w:tcW w:type="dxa" w:w="3734"/>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Sound; cosmetic only ✔</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Tenancy</w:t>
            </w:r>
          </w:p>
        </w:tc>
        <w:tc>
          <w:tcPr>
            <w:tcW w:type="dxa" w:w="3734"/>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Tenanted preferred</w:t>
            </w:r>
          </w:p>
        </w:tc>
        <w:tc>
          <w:tcPr>
            <w:tcW w:type="dxa" w:w="3734"/>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Fixed term to Nov 2026 ✔</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03   </w:t>
      </w:r>
      <w:r>
        <w:rPr>
          <w:rFonts w:ascii="Georgia" w:hAnsi="Georgia" w:cs="Georgia" w:eastAsia="Georgia"/>
          <w:b w:val="0"/>
          <w:i w:val="0"/>
          <w:color w:val="0C2340"/>
          <w:spacing w:val="2"/>
          <w:sz w:val="34"/>
          <w:u w:val="none"/>
        </w:rPr>
        <w:t>Key numbers</w:t>
      </w:r>
    </w:p>
    <w:p>
      <w:pPr>
        <w:keepNext/>
        <w:keepLines/>
        <w:pageBreakBefore w:val="0"/>
        <w:widowControl w:val="1"/>
        <w:spacing w:before="0" w:after="100"/>
      </w:pPr>
      <w:r>
        <w:rPr>
          <w:rFonts w:ascii="Calibri" w:hAnsi="Calibri" w:cs="Calibri" w:eastAsia="Calibri"/>
          <w:b/>
          <w:i w:val="0"/>
          <w:caps w:val="1"/>
          <w:color w:val="4C5B73"/>
          <w:spacing w:val="36"/>
          <w:sz w:val="15"/>
          <w:u w:val="none"/>
        </w:rPr>
        <w:t>The financial position</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6"/>
                <w:sz w:val="14"/>
                <w:u w:val="none"/>
              </w:rPr>
              <w:t>RECOMMENDED OFFER</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6"/>
                <w:sz w:val="14"/>
                <w:u w:val="none"/>
              </w:rPr>
              <w:t>GROSS YIELD</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6"/>
                <w:sz w:val="14"/>
                <w:u w:val="none"/>
              </w:rPr>
              <w:t>CASH REQUIRED</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6"/>
                <w:sz w:val="14"/>
                <w:u w:val="none"/>
              </w:rPr>
              <w:t>HOLDING COST</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$865,000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Maximum</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4.6%</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On appraised rent</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$212,400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Incl. all costs</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$84/wk</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After tax, year one</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04   </w:t>
      </w:r>
      <w:r>
        <w:rPr>
          <w:rFonts w:ascii="Georgia" w:hAnsi="Georgia" w:cs="Georgia" w:eastAsia="Georgia"/>
          <w:b w:val="0"/>
          <w:i w:val="0"/>
          <w:color w:val="0C2340"/>
          <w:spacing w:val="2"/>
          <w:sz w:val="34"/>
          <w:u w:val="none"/>
        </w:rPr>
        <w:t>Acquisition strategy</w:t>
      </w:r>
    </w:p>
    <w:p>
      <w:pPr>
        <w:keepNext/>
        <w:keepLines/>
        <w:pageBreakBefore w:val="0"/>
        <w:widowControl w:val="1"/>
        <w:spacing w:before="0" w:after="100"/>
      </w:pPr>
      <w:r>
        <w:rPr>
          <w:rFonts w:ascii="Calibri" w:hAnsi="Calibri" w:cs="Calibri" w:eastAsia="Calibri"/>
          <w:b/>
          <w:i w:val="0"/>
          <w:caps w:val="1"/>
          <w:color w:val="4C5B73"/>
          <w:spacing w:val="36"/>
          <w:sz w:val="15"/>
          <w:u w:val="none"/>
        </w:rPr>
        <w:t>How we secure it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D6FE0"/>
                <w:sz w:val="21"/>
                <w:u w:val="none"/>
              </w:rPr>
              <w:t>1</w:t>
            </w:r>
          </w:p>
        </w:tc>
        <w:tc>
          <w:tcPr>
            <w:tcW w:type="dxa" w:w="2268"/>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Open</w:t>
            </w:r>
          </w:p>
        </w:tc>
        <w:tc>
          <w:tcPr>
            <w:tcW w:type="dxa" w:w="7143"/>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Offer at $848,000 with a 42-day settlement and a five-day condition.</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D6FE0"/>
                <w:sz w:val="21"/>
                <w:u w:val="none"/>
              </w:rPr>
              <w:t>2</w:t>
            </w:r>
          </w:p>
        </w:tc>
        <w:tc>
          <w:tcPr>
            <w:tcW w:type="dxa" w:w="2268"/>
            <w:tcBorders>
              <w:top w:val="single" w:sz="4" w:space="0" w:color="FFFFFF"/>
              <w:left w:val="nil"/>
              <w:bottom w:val="single" w:sz="4" w:space="0" w:color="FFFFFF"/>
              <w:right w:val="nil"/>
            </w:tcBorders>
            <w:shd w:val="clear" w:color="auto" w:fill="F7F9FC"/>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Hold</w:t>
            </w:r>
          </w:p>
        </w:tc>
        <w:tc>
          <w:tcPr>
            <w:tcW w:type="dxa" w:w="7143"/>
            <w:tcBorders>
              <w:top w:val="single" w:sz="4" w:space="0" w:color="FFFFFF"/>
              <w:left w:val="nil"/>
              <w:bottom w:val="single" w:sz="4" w:space="0" w:color="FFFFFF"/>
              <w:right w:val="nil"/>
            </w:tcBorders>
            <w:shd w:val="clear" w:color="auto" w:fill="F7F9FC"/>
            <w:tcMar>
              <w:top w:w="118" w:type="dxa"/>
              <w:left w:w="165" w:type="dxa"/>
              <w:bottom w:w="118" w:type="dxa"/>
              <w:right w:w="165"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Do not improve on price before the agent brings a counter.</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D6FE0"/>
                <w:sz w:val="21"/>
                <w:u w:val="none"/>
              </w:rPr>
              <w:t>3</w:t>
            </w:r>
          </w:p>
        </w:tc>
        <w:tc>
          <w:tcPr>
            <w:tcW w:type="dxa" w:w="2268"/>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Improve</w:t>
            </w:r>
          </w:p>
        </w:tc>
        <w:tc>
          <w:tcPr>
            <w:tcW w:type="dxa" w:w="7143"/>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Move to $858,000 only against a written counter above $875,000.</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D6FE0"/>
                <w:sz w:val="21"/>
                <w:u w:val="none"/>
              </w:rPr>
              <w:t>4</w:t>
            </w:r>
          </w:p>
        </w:tc>
        <w:tc>
          <w:tcPr>
            <w:tcW w:type="dxa" w:w="2268"/>
            <w:tcBorders>
              <w:top w:val="single" w:sz="4" w:space="0" w:color="FFFFFF"/>
              <w:left w:val="nil"/>
              <w:bottom w:val="single" w:sz="4" w:space="0" w:color="FFFFFF"/>
              <w:right w:val="nil"/>
            </w:tcBorders>
            <w:shd w:val="clear" w:color="auto" w:fill="F7F9FC"/>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Ceiling</w:t>
            </w:r>
          </w:p>
        </w:tc>
        <w:tc>
          <w:tcPr>
            <w:tcW w:type="dxa" w:w="7143"/>
            <w:tcBorders>
              <w:top w:val="single" w:sz="4" w:space="0" w:color="FFFFFF"/>
              <w:left w:val="nil"/>
              <w:bottom w:val="single" w:sz="4" w:space="0" w:color="FFFFFF"/>
              <w:right w:val="nil"/>
            </w:tcBorders>
            <w:shd w:val="clear" w:color="auto" w:fill="F7F9FC"/>
            <w:tcMar>
              <w:top w:w="118" w:type="dxa"/>
              <w:left w:w="165" w:type="dxa"/>
              <w:bottom w:w="118" w:type="dxa"/>
              <w:right w:w="165"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$865,000. We will not recommend exceeding this.</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D6FE0"/>
                <w:sz w:val="21"/>
                <w:u w:val="none"/>
              </w:rPr>
              <w:t>5</w:t>
            </w:r>
          </w:p>
        </w:tc>
        <w:tc>
          <w:tcPr>
            <w:tcW w:type="dxa" w:w="2268"/>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Secure</w:t>
            </w:r>
          </w:p>
        </w:tc>
        <w:tc>
          <w:tcPr>
            <w:tcW w:type="dxa" w:w="7143"/>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Exchange within five business days of acceptance.</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36"/>
          <w:sz w:val="15"/>
          <w:u w:val="none"/>
        </w:rPr>
        <w:t>What would change this recommendation</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What would change this recommendation"/>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118" w:type="dxa"/>
              <w:left w:w="165" w:type="dxa"/>
              <w:bottom w:w="118" w:type="dxa"/>
              <w:right w:w="165"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118" w:type="dxa"/>
              <w:left w:w="165" w:type="dxa"/>
              <w:bottom w:w="118" w:type="dxa"/>
              <w:right w:w="165"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118" w:type="dxa"/>
              <w:left w:w="165" w:type="dxa"/>
              <w:bottom w:w="118" w:type="dxa"/>
              <w:right w:w="165"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Building report identifies structural movement</w:t>
            </w:r>
          </w:p>
        </w:tc>
        <w:tc>
          <w:tcPr>
            <w:tcW w:type="dxa" w:w="1413"/>
            <w:tcBorders>
              <w:top w:val="nil"/>
              <w:left w:val="nil"/>
              <w:bottom w:val="single" w:sz="4" w:space="0" w:color="DCE3ED"/>
              <w:right w:val="nil"/>
            </w:tcBorders>
            <w:shd w:val="clear" w:color="auto" w:fill="FBECEA"/>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We withdraw the recommendation and resume the search.</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Competing offer pushes the price beyond $865,000</w:t>
            </w:r>
          </w:p>
        </w:tc>
        <w:tc>
          <w:tcPr>
            <w:tcW w:type="dxa" w:w="1413"/>
            <w:tcBorders>
              <w:top w:val="nil"/>
              <w:left w:val="nil"/>
              <w:bottom w:val="single" w:sz="4" w:space="0" w:color="DCE3ED"/>
              <w:right w:val="nil"/>
            </w:tcBorders>
            <w:shd w:val="clear" w:color="auto" w:fill="FBF1E0"/>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We do not compete beyond the ceiling; two alternatives remain under assessment.</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Finance approval does not cover the adjusted price</w:t>
            </w:r>
          </w:p>
        </w:tc>
        <w:tc>
          <w:tcPr>
            <w:tcW w:type="dxa" w:w="1413"/>
            <w:tcBorders>
              <w:top w:val="nil"/>
              <w:left w:val="nil"/>
              <w:bottom w:val="single" w:sz="4" w:space="0" w:color="DCE3ED"/>
              <w:right w:val="nil"/>
            </w:tcBorders>
            <w:shd w:val="clear" w:color="auto" w:fill="FBF1E0"/>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Confirm approval before the offer is issued.</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05   </w:t>
      </w:r>
      <w:r>
        <w:rPr>
          <w:rFonts w:ascii="Georgia" w:hAnsi="Georgia" w:cs="Georgia" w:eastAsia="Georgia"/>
          <w:b w:val="0"/>
          <w:i w:val="0"/>
          <w:color w:val="0C2340"/>
          <w:spacing w:val="2"/>
          <w:sz w:val="34"/>
          <w:u w:val="none"/>
        </w:rPr>
        <w:t>Your authority</w:t>
      </w:r>
    </w:p>
    <w:p>
      <w:pPr>
        <w:keepNext/>
        <w:keepLines/>
        <w:pageBreakBefore w:val="0"/>
        <w:widowControl w:val="1"/>
        <w:spacing w:before="0" w:after="100"/>
      </w:pPr>
      <w:r>
        <w:rPr>
          <w:rFonts w:ascii="Calibri" w:hAnsi="Calibri" w:cs="Calibri" w:eastAsia="Calibri"/>
          <w:b/>
          <w:i w:val="0"/>
          <w:caps w:val="1"/>
          <w:color w:val="4C5B73"/>
          <w:spacing w:val="36"/>
          <w:sz w:val="15"/>
          <w:u w:val="none"/>
        </w:rPr>
        <w:t>What we need from you</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Authority to act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118" w:type="dxa"/>
              <w:left w:w="165" w:type="dxa"/>
              <w:bottom w:w="118" w:type="dxa"/>
              <w:right w:w="165"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I authorise an opening offer of $848,000.</w:t>
            </w:r>
          </w:p>
        </w:tc>
      </w:tr>
      <w:tr>
        <w:trPr>
          <w:cantSplit/>
        </w:trPr>
        <w:tc>
          <w:tcPr>
            <w:tcW w:type="dxa" w:w="10091"/>
            <w:tcBorders>
              <w:top w:val="nil"/>
              <w:left w:val="nil"/>
              <w:bottom w:val="single" w:sz="4" w:space="0" w:color="DCE3ED"/>
              <w:right w:val="nil"/>
            </w:tcBorders>
            <w:tcMar>
              <w:top w:w="118" w:type="dxa"/>
              <w:left w:w="165" w:type="dxa"/>
              <w:bottom w:w="118" w:type="dxa"/>
              <w:right w:w="165"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I authorise a maximum offer of $865,000.</w:t>
            </w:r>
          </w:p>
        </w:tc>
      </w:tr>
      <w:tr>
        <w:trPr>
          <w:cantSplit/>
        </w:trPr>
        <w:tc>
          <w:tcPr>
            <w:tcW w:type="dxa" w:w="10091"/>
            <w:tcBorders>
              <w:top w:val="nil"/>
              <w:left w:val="nil"/>
              <w:bottom w:val="single" w:sz="4" w:space="0" w:color="DCE3ED"/>
              <w:right w:val="nil"/>
            </w:tcBorders>
            <w:tcMar>
              <w:top w:w="118" w:type="dxa"/>
              <w:left w:w="165" w:type="dxa"/>
              <w:bottom w:w="118" w:type="dxa"/>
              <w:right w:w="165"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I authorise a 42-day settlement.</w:t>
            </w:r>
          </w:p>
        </w:tc>
      </w:tr>
      <w:tr>
        <w:trPr>
          <w:cantSplit/>
        </w:trPr>
        <w:tc>
          <w:tcPr>
            <w:tcW w:type="dxa" w:w="10091"/>
            <w:tcBorders>
              <w:top w:val="nil"/>
              <w:left w:val="nil"/>
              <w:bottom w:val="single" w:sz="4" w:space="0" w:color="DCE3ED"/>
              <w:right w:val="nil"/>
            </w:tcBorders>
            <w:tcMar>
              <w:top w:w="118" w:type="dxa"/>
              <w:left w:w="165" w:type="dxa"/>
              <w:bottom w:w="118" w:type="dxa"/>
              <w:right w:w="165"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I confirm finance is in place to the recommended level.</w:t>
            </w:r>
          </w:p>
        </w:tc>
      </w:tr>
    </w:tbl>
    <w:p>
      <w:pPr>
        <w:keepNext w:val="0"/>
        <w:keepLines/>
        <w:pageBreakBefore w:val="0"/>
        <w:widowControl w:val="1"/>
        <w:spacing w:before="0" w:after="0" w:line="168"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C2340"/>
                <w:spacing w:val="36"/>
                <w:sz w:val="16"/>
                <w:u w:val="none"/>
              </w:rPr>
              <w:t>Client authority</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Name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C2340"/>
                <w:spacing w:val="36"/>
                <w:sz w:val="16"/>
                <w:u w:val="none"/>
              </w:rPr>
              <w:t>For the agency</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Name   </w:t>
            </w:r>
            <w:r>
              <w:rPr>
                <w:rFonts w:ascii="Calibri" w:hAnsi="Calibri" w:cs="Calibri" w:eastAsia="Calibri"/>
                <w:b w:val="0"/>
                <w:i w:val="0"/>
                <w:color w:val="10192A"/>
                <w:sz w:val="17"/>
                <w:u w:val="none"/>
              </w:rPr>
              <w:t>A. Nguyen</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C2340"/>
          <w:spacing w:val="2"/>
          <w:sz w:val="34"/>
          <w:u w:val="none"/>
        </w:rPr>
        <w:t>Important information</w:t>
      </w:r>
    </w:p>
    <w:p>
      <w:pPr>
        <w:keepNext/>
        <w:keepLines/>
        <w:pageBreakBefore w:val="0"/>
        <w:widowControl w:val="1"/>
        <w:spacing w:before="0" w:after="100"/>
      </w:pPr>
      <w:r>
        <w:rPr>
          <w:rFonts w:ascii="Calibri" w:hAnsi="Calibri" w:cs="Calibri" w:eastAsia="Calibri"/>
          <w:b/>
          <w:i w:val="0"/>
          <w:caps w:val="1"/>
          <w:color w:val="4C5B73"/>
          <w:spacing w:val="36"/>
          <w:sz w:val="15"/>
          <w:u w:val="none"/>
        </w:rPr>
        <w:t>Disclaimer, privacy and terms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160" w:after="80"/>
      </w:pPr>
      <w:r>
        <w:rPr>
          <w:rFonts w:ascii="Georgia" w:hAnsi="Georgia" w:cs="Georgia" w:eastAsia="Georgia"/>
          <w:b/>
          <w:i w:val="0"/>
          <w:color w:val="0C2340"/>
          <w:sz w:val="21"/>
          <w:u w:val="none"/>
        </w:rPr>
        <w:t>Disclaimer</w:t>
      </w:r>
    </w:p>
    <w:p>
      <w:pPr>
        <w:keepNext w:val="0"/>
        <w:keepLines/>
        <w:pageBreakBefore w:val="0"/>
        <w:widowControl w:val="1"/>
        <w:spacing w:before="0" w:after="0" w:line="341"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C2340"/>
          <w:sz w:val="21"/>
          <w:u w:val="none"/>
        </w:rPr>
        <w:t>Privacy</w:t>
      </w:r>
    </w:p>
    <w:p>
      <w:pPr>
        <w:keepNext w:val="0"/>
        <w:keepLines/>
        <w:pageBreakBefore w:val="0"/>
        <w:widowControl w:val="1"/>
        <w:spacing w:before="0" w:after="0" w:line="341"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C2340"/>
          <w:sz w:val="21"/>
          <w:u w:val="none"/>
        </w:rPr>
        <w:t>Terms of use</w:t>
      </w:r>
    </w:p>
    <w:p>
      <w:pPr>
        <w:keepNext w:val="0"/>
        <w:keepLines/>
        <w:pageBreakBefore w:val="0"/>
        <w:widowControl w:val="1"/>
        <w:spacing w:before="0" w:after="0" w:line="341"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36"/>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36"/>
              <w:sz w:val="14"/>
              <w:u w:val="none"/>
            </w:rPr>
            <w:t>Property Acquisition Recommendation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41"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Acquisition Recommendation</dc:title>
  <dc:subject>A short, decisive advisory document: the recommendation, the reasoning behind it, the strategy for securing the asset, and what happens next.</dc:subject>
  <dc:creator>Aurixa Systems</dc:creator>
  <cp:keywords>Acquisition recommendation, Buy recommendation, Advisory memo,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