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Search mandate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{{form.title}}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{{form.subtitle}}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Brief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{{brief.reference}}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agreed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Purchase parameters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commercial envelope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Purpose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minimum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maximum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Absolute ceiling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available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Finance status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purchase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Settlement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Location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we will search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Primary target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Secondary acceptable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Excluded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CBD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transport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School catchment requirement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Property requirements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are looking for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bedrooms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bathrooms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Car spaces required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land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building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Acceptable condition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Renovation budget, if any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gross yield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Must have / must not have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deal-breakers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Complete both columns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lete both columns"/>
        <w:tblDescription w:val="Compares: Must have, Must not have"/>
      </w:tblPr>
      <w:tblGrid>
        <w:gridCol w:w="2624"/>
        <w:gridCol w:w="3734"/>
        <w:gridCol w:w="373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have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not have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2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3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4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5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6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7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8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we treat this table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 property that fails a 'must not have' will not be presented to you at all. A property that fails a 'must have' will only be presented with an explanation of why we think it is worth an exception. Be deliberate about what goes in each column — the more that is listed, the fewer properties will qualify.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Scoring weights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How competing options are ranked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Weighting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Weighting"/>
        <w:tblDescription w:val="Columns: Criterion, Weight %, Why it matters to you"/>
      </w:tblPr>
      <w:tblGrid>
        <w:gridCol w:w="3061"/>
        <w:gridCol w:w="1474"/>
        <w:gridCol w:w="5556"/>
      </w:tblGrid>
      <w:tr>
        <w:trPr>
          <w:cantSplit/>
          <w:trHeight w:val="420" w:hRule="atLeast"/>
          <w:tblHeader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Weight %</w:t>
            </w: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matters to you</w:t>
            </w: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Land size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Yield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Location and amenity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Condition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Growth evidence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Tenancy position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Price against assessment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7"/>
                <w:u w:val="none"/>
              </w:rPr>
              <w:t>Total — must equal 100%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Weights are used in the comparison report to rank shortlisted properties. If you would rather we did not score, leave this blank and we will present options unranked.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Agreed brief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mandate in one paragraph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1554AE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554AE"/>
                <w:spacing w:val="22"/>
                <w:sz w:val="15"/>
                <w:u w:val="none"/>
              </w:rPr>
              <w:t>Agreed brief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{{brief.statement}}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Signatures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Both parties agree the brief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Agent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Property Brief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Brief Form</dc:title>
  <dc:subject>The search mandate: what the client is looking for, where, at what price, with what must-haves and deal-breakers.</dc:subject>
  <dc:creator>Aurixa Systems</dc:creator>
  <cp:keywords>Property brief, Search mandate, Buying brief,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