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Street elevation, facing north</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Property investment analysis</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Property Investment Report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12 Example Street, Northbridge NSW 2063 — a researched investment case covering the asset, the numbers, the risks and a recommendation.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RESEARCHED</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MODELLED</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RECOMMENDED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libri" w:hAnsi="Calibri" w:cs="Calibri" w:eastAsia="Calibri"/>
                <w:b/>
                <w:i w:val="0"/>
                <w:caps w:val="1"/>
                <w:color w:val="FFFFFF"/>
                <w:spacing w:val="36"/>
                <w:sz w:val="25"/>
                <w:u w:val="none"/>
              </w:rPr>
              <w:t>Contents</w:t>
            </w:r>
          </w:p>
        </w:tc>
      </w:tr>
    </w:tbl>
    <w:p>
      <w:pPr>
        <w:keepNext w:val="0"/>
        <w:keepLines/>
        <w:pageBreakBefore w:val="0"/>
        <w:widowControl w:val="1"/>
        <w:spacing w:before="0" w:after="0" w:line="18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01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02    </w:t>
      </w:r>
      <w:r>
        <w:rPr>
          <w:rFonts w:ascii="Calibri" w:hAnsi="Calibri" w:cs="Calibri" w:eastAsia="Calibri"/>
          <w:b w:val="0"/>
          <w:i w:val="0"/>
          <w:color w:val="10192A"/>
          <w:sz w:val="19"/>
          <w:u w:val="none"/>
        </w:rPr>
        <w:t>Investment metrics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03    </w:t>
      </w:r>
      <w:r>
        <w:rPr>
          <w:rFonts w:ascii="Calibri" w:hAnsi="Calibri" w:cs="Calibri" w:eastAsia="Calibri"/>
          <w:b w:val="0"/>
          <w:i w:val="0"/>
          <w:color w:val="10192A"/>
          <w:sz w:val="19"/>
          <w:u w:val="none"/>
        </w:rPr>
        <w:t>Property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04    </w:t>
      </w:r>
      <w:r>
        <w:rPr>
          <w:rFonts w:ascii="Calibri" w:hAnsi="Calibri" w:cs="Calibri" w:eastAsia="Calibri"/>
          <w:b w:val="0"/>
          <w:i w:val="0"/>
          <w:color w:val="10192A"/>
          <w:sz w:val="19"/>
          <w:u w:val="none"/>
        </w:rPr>
        <w:t>Location &amp; amenity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05    </w:t>
      </w:r>
      <w:r>
        <w:rPr>
          <w:rFonts w:ascii="Calibri" w:hAnsi="Calibri" w:cs="Calibri" w:eastAsia="Calibri"/>
          <w:b w:val="0"/>
          <w:i w:val="0"/>
          <w:color w:val="10192A"/>
          <w:sz w:val="19"/>
          <w:u w:val="none"/>
        </w:rPr>
        <w:t>Financial analysis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06    </w:t>
      </w:r>
      <w:r>
        <w:rPr>
          <w:rFonts w:ascii="Calibri" w:hAnsi="Calibri" w:cs="Calibri" w:eastAsia="Calibri"/>
          <w:b w:val="0"/>
          <w:i w:val="0"/>
          <w:color w:val="10192A"/>
          <w:sz w:val="19"/>
          <w:u w:val="none"/>
        </w:rPr>
        <w:t>Cash-flow projection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07    </w:t>
      </w:r>
      <w:r>
        <w:rPr>
          <w:rFonts w:ascii="Calibri" w:hAnsi="Calibri" w:cs="Calibri" w:eastAsia="Calibri"/>
          <w:b w:val="0"/>
          <w:i w:val="0"/>
          <w:color w:val="10192A"/>
          <w:sz w:val="19"/>
          <w:u w:val="none"/>
        </w:rPr>
        <w:t>Comparable sales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08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2B0CE"/>
          <w:sz w:val="19"/>
          <w:u w:val="none"/>
        </w:rPr>
        <w:t xml:space="preserve">09    </w:t>
      </w:r>
      <w:r>
        <w:rPr>
          <w:rFonts w:ascii="Calibri" w:hAnsi="Calibri" w:cs="Calibri" w:eastAsia="Calibri"/>
          <w:b w:val="0"/>
          <w:i w:val="0"/>
          <w:color w:val="10192A"/>
          <w:sz w:val="19"/>
          <w:u w:val="none"/>
        </w:rPr>
        <w:t>Recommendation</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Executive summary</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case in brief</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The property meets the mandate on yield, holding cost and location, with two risks that are manageable.</w:t>
            </w:r>
          </w:p>
          <w:p>
            <w:pPr>
              <w:keepNext w:val="0"/>
              <w:keepLines/>
              <w:pageBreakBefore w:val="0"/>
              <w:widowControl w:val="1"/>
              <w:spacing w:before="0" w:after="0" w:line="317" w:lineRule="auto"/>
            </w:pPr>
            <w:r>
              <w:rPr>
                <w:rFonts w:ascii="Calibri" w:hAnsi="Calibri" w:cs="Calibri" w:eastAsia="Calibri"/>
                <w:b w:val="0"/>
                <w:i w:val="0"/>
                <w:color w:val="10192A"/>
                <w:sz w:val="19"/>
                <w:u w:val="none"/>
              </w:rPr>
              <w:t>The subject property is a three-bedroom freestanding house on 512m² in an established residential pocket 11km from the CBD. It presents in original but sound condition and has been continuously tenanted for the last four years.</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On the assumptions set out in this report the property produces a gross yield of 4.6% and a first-year after-tax holding cost of $84 per week, which is within the budget agreed in the client brief. The suburb has recorded 6.1% compound annual growth over ten years against a metropolitan average of 5.4%.</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Two matters require attention before exchange: the tenancy runs to a fixed term expiring in four months, and the building report identifies rising damp to the rear wall. Both are quantified in the risk section and neither is assessed as material to the recommendation.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What this means</w:t>
            </w:r>
          </w:p>
          <w:p>
            <w:pPr>
              <w:keepNext w:val="0"/>
              <w:keepLines/>
              <w:pageBreakBefore w:val="0"/>
              <w:widowControl w:val="1"/>
              <w:spacing w:before="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Gross yield of 4.6% clears the 4.2% threshold in the client brief.</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After-tax holding cost of $84/week is inside the agreed $150/week budget.</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Rising damp remediation is estimated at $6,500 and should be negotiated.</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Recommended maximum offer is $865,000.</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Investment metrics</w:t>
            </w:r>
          </w:p>
          <w:p>
            <w:pPr>
              <w:keepNext/>
              <w:keepLines/>
              <w:pageBreakBefore w:val="0"/>
              <w:widowControl w:val="1"/>
              <w:spacing w:before="0" w:after="0"/>
            </w:pPr>
            <w:r>
              <w:rPr>
                <w:rFonts w:ascii="Calibri" w:hAnsi="Calibri" w:cs="Calibri" w:eastAsia="Calibri"/>
                <w:b w:val="0"/>
                <w:i w:val="0"/>
                <w:caps w:val="1"/>
                <w:color w:val="12B0CE"/>
                <w:spacing w:val="22"/>
                <w:sz w:val="14"/>
                <w:u w:val="none"/>
              </w:rPr>
              <w:t>Headline position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PURCHASE PRICE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GROSS YIELD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WEEKLY RENT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CASH REQUIRED</w:t>
            </w:r>
          </w:p>
        </w:tc>
      </w:tr>
      <w:tr>
        <w:trPr>
          <w:cantSplit/>
        </w:trPr>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$865,000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Recommended maximum</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On appraised rent</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$765</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Appraised range $750–780</w:t>
            </w:r>
          </w:p>
        </w:tc>
        <w:tc>
          <w:tcPr>
            <w:tcW w:type="dxa" w:w="2523"/>
            <w:tcBorders>
              <w:bottom w:val="single" w:sz="8" w:space="0" w:color="12B0CE"/>
              <w:right w:val="nil"/>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$212,400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costs, 20% deposit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Property overview</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asset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Property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3"/>
              <w:gridCol w:w="2884"/>
              <w:gridCol w:w="1923"/>
              <w:gridCol w:w="2884"/>
            </w:tblGrid>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Address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Example Street, Northbridge NSW 2063</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Property type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Freestanding house</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area</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512 m²</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Building area</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148 m²</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Bedrooms / bathrooms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 / 1</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Car spaces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(lock-up garage)</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Year built</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1968</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Zoning</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R2 Low Density Residential</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Current tenancy</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Fixed term to 14/11/2026 at $740/week</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Condition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Original, structurally sound</w:t>
                  </w:r>
                </w:p>
              </w:tc>
            </w:tr>
          </w:tbl>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961"/>
        <w:gridCol w:w="170"/>
        <w:gridCol w:w="4961"/>
      </w:tblGrid>
      <w:tr>
        <w:trPr>
          <w:cantSplit/>
          <w:trHeight w:val="2494" w:hRule="atLeast"/>
        </w:trPr>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1  ]</w:t>
            </w:r>
          </w:p>
          <w:p>
            <w:pPr>
              <w:keepNext w:val="0"/>
              <w:keepLines/>
              <w:pageBreakBefore w:val="0"/>
              <w:widowControl w:val="1"/>
              <w:spacing w:before="60" w:after="0"/>
              <w:jc w:val="center"/>
            </w:pPr>
            <w:r>
              <w:rPr>
                <w:rFonts w:ascii="Calibri" w:hAnsi="Calibri" w:cs="Calibri" w:eastAsia="Calibri"/>
                <w:b w:val="0"/>
                <w:i/>
                <w:color w:val="8493A8"/>
                <w:sz w:val="14"/>
                <w:u w:val="none"/>
              </w:rPr>
              <w:t>Street elevation</w:t>
            </w:r>
          </w:p>
        </w:tc>
        <w:tc>
          <w:tcPr>
            <w:tcW w:type="dxa" w:w="170"/>
          </w:tcPr>
          <w:p/>
        </w:tc>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2  ]</w:t>
            </w:r>
          </w:p>
          <w:p>
            <w:pPr>
              <w:keepNext w:val="0"/>
              <w:keepLines/>
              <w:pageBreakBefore w:val="0"/>
              <w:widowControl w:val="1"/>
              <w:spacing w:before="60" w:after="0"/>
              <w:jc w:val="center"/>
            </w:pPr>
            <w:r>
              <w:rPr>
                <w:rFonts w:ascii="Calibri" w:hAnsi="Calibri" w:cs="Calibri" w:eastAsia="Calibri"/>
                <w:b w:val="0"/>
                <w:i/>
                <w:color w:val="8493A8"/>
                <w:sz w:val="14"/>
                <w:u w:val="none"/>
              </w:rPr>
              <w:t>Living and dining</w:t>
            </w:r>
          </w:p>
        </w:tc>
      </w:tr>
    </w:tbl>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961"/>
        <w:gridCol w:w="170"/>
        <w:gridCol w:w="4961"/>
      </w:tblGrid>
      <w:tr>
        <w:trPr>
          <w:cantSplit/>
          <w:trHeight w:val="2494" w:hRule="atLeast"/>
        </w:trPr>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3  ]</w:t>
            </w:r>
          </w:p>
          <w:p>
            <w:pPr>
              <w:keepNext w:val="0"/>
              <w:keepLines/>
              <w:pageBreakBefore w:val="0"/>
              <w:widowControl w:val="1"/>
              <w:spacing w:before="60" w:after="0"/>
              <w:jc w:val="center"/>
            </w:pPr>
            <w:r>
              <w:rPr>
                <w:rFonts w:ascii="Calibri" w:hAnsi="Calibri" w:cs="Calibri" w:eastAsia="Calibri"/>
                <w:b w:val="0"/>
                <w:i/>
                <w:color w:val="8493A8"/>
                <w:sz w:val="14"/>
                <w:u w:val="none"/>
              </w:rPr>
              <w:t>Kitchen, original</w:t>
            </w:r>
          </w:p>
        </w:tc>
        <w:tc>
          <w:tcPr>
            <w:tcW w:type="dxa" w:w="170"/>
          </w:tcPr>
          <w:p/>
        </w:tc>
        <w:tc>
          <w:tcPr>
            <w:tcW w:type="dxa" w:w="4961"/>
            <w:tcBorders>
              <w:top w:val="single" w:sz="4" w:space="0" w:color="C2CDDC"/>
              <w:left w:val="single" w:sz="4" w:space="0" w:color="C2CDDC"/>
              <w:bottom w:val="single" w:sz="4" w:space="0" w:color="C2CDDC"/>
              <w:right w:val="single" w:sz="4" w:space="0" w:color="C2CDDC"/>
            </w:tcBorders>
            <w:shd w:val="clear" w:color="auto" w:fill="EDF1F7"/>
            <w:tcMar>
              <w:top w:w="100" w:type="dxa"/>
              <w:left w:w="100" w:type="dxa"/>
              <w:bottom w:w="100" w:type="dxa"/>
              <w:right w:w="100" w:type="dxa"/>
            </w:tcMar>
            <w:vAlign w:val="center"/>
          </w:tcPr>
          <w:p>
            <w:pPr>
              <w:keepNext w:val="0"/>
              <w:keepLines/>
              <w:pageBreakBefore w:val="0"/>
              <w:widowControl w:val="1"/>
              <w:spacing w:before="0" w:after="0"/>
              <w:jc w:val="center"/>
            </w:pPr>
            <w:r>
              <w:rPr>
                <w:rFonts w:ascii="Calibri" w:hAnsi="Calibri" w:cs="Calibri" w:eastAsia="Calibri"/>
                <w:b/>
                <w:i w:val="0"/>
                <w:caps w:val="1"/>
                <w:color w:val="8493A8"/>
                <w:spacing w:val="28"/>
                <w:sz w:val="14"/>
                <w:u w:val="none"/>
              </w:rPr>
              <w:t>[  IMAGE 4  ]</w:t>
            </w:r>
          </w:p>
          <w:p>
            <w:pPr>
              <w:keepNext w:val="0"/>
              <w:keepLines/>
              <w:pageBreakBefore w:val="0"/>
              <w:widowControl w:val="1"/>
              <w:spacing w:before="60" w:after="0"/>
              <w:jc w:val="center"/>
            </w:pPr>
            <w:r>
              <w:rPr>
                <w:rFonts w:ascii="Calibri" w:hAnsi="Calibri" w:cs="Calibri" w:eastAsia="Calibri"/>
                <w:b w:val="0"/>
                <w:i/>
                <w:color w:val="8493A8"/>
                <w:sz w:val="14"/>
                <w:u w:val="none"/>
              </w:rPr>
              <w:t>Rear yard and garage</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Location &amp; amenity</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Why here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4309"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SUBJECT AND AMENITY MAP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Alt text: Map showing the subject property, transport, schools and retail</w:t>
      </w:r>
    </w:p>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C2340"/>
                <w:sz w:val="17"/>
                <w:u w:val="none"/>
              </w:rPr>
              <w:t xml:space="preserve">●  </w:t>
            </w:r>
            <w:r>
              <w:rPr>
                <w:rFonts w:ascii="Calibri" w:hAnsi="Calibri" w:cs="Calibri" w:eastAsia="Calibri"/>
                <w:b w:val="0"/>
                <w:i w:val="0"/>
                <w:color w:val="4C5B73"/>
                <w:sz w:val="14"/>
                <w:u w:val="none"/>
              </w:rPr>
              <w:t>Subject property</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D6FE0"/>
                <w:sz w:val="17"/>
                <w:u w:val="none"/>
              </w:rPr>
              <w:t xml:space="preserve">▲  </w:t>
            </w:r>
            <w:r>
              <w:rPr>
                <w:rFonts w:ascii="Calibri" w:hAnsi="Calibri" w:cs="Calibri" w:eastAsia="Calibri"/>
                <w:b w:val="0"/>
                <w:i w:val="0"/>
                <w:color w:val="4C5B73"/>
                <w:sz w:val="14"/>
                <w:u w:val="none"/>
              </w:rPr>
              <w:t>Rail</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2B0CE"/>
                <w:sz w:val="17"/>
                <w:u w:val="none"/>
              </w:rPr>
              <w:t xml:space="preserve">■  </w:t>
            </w:r>
            <w:r>
              <w:rPr>
                <w:rFonts w:ascii="Calibri" w:hAnsi="Calibri" w:cs="Calibri" w:eastAsia="Calibri"/>
                <w:b w:val="0"/>
                <w:i w:val="0"/>
                <w:color w:val="4C5B73"/>
                <w:sz w:val="14"/>
                <w:u w:val="none"/>
              </w:rPr>
              <w:t>Schools</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5B96EB"/>
                <w:sz w:val="17"/>
                <w:u w:val="none"/>
              </w:rPr>
              <w:t xml:space="preserve">◆  </w:t>
            </w:r>
            <w:r>
              <w:rPr>
                <w:rFonts w:ascii="Calibri" w:hAnsi="Calibri" w:cs="Calibri" w:eastAsia="Calibri"/>
                <w:b w:val="0"/>
                <w:i w:val="0"/>
                <w:color w:val="4C5B73"/>
                <w:sz w:val="14"/>
                <w:u w:val="none"/>
              </w:rPr>
              <w:t>Retail</w:t>
            </w:r>
          </w:p>
        </w:tc>
      </w:tr>
    </w:tbl>
    <w:p>
      <w:pPr>
        <w:keepNext w:val="0"/>
        <w:keepLines/>
        <w:pageBreakBefore w:val="0"/>
        <w:widowControl w:val="1"/>
        <w:spacing w:before="0" w:after="0" w:line="108" w:lineRule="exact"/>
      </w:pPr>
      <w:r>
        <w:rPr>
          <w:sz w:val="2"/>
        </w:rPr>
      </w:r>
    </w:p>
    <w:p>
      <w:pPr>
        <w:keepNext w:val="0"/>
        <w:keepLines/>
        <w:pageBreakBefore w:val="0"/>
        <w:widowControl w:val="1"/>
        <w:spacing w:before="0" w:after="0" w:line="317" w:lineRule="auto"/>
      </w:pPr>
      <w:r>
        <w:rPr>
          <w:rFonts w:ascii="Calibri" w:hAnsi="Calibri" w:cs="Calibri" w:eastAsia="Calibri"/>
          <w:b w:val="0"/>
          <w:i w:val="0"/>
          <w:color w:val="10192A"/>
          <w:sz w:val="19"/>
          <w:u w:val="none"/>
        </w:rPr>
        <w:t>The property sits on the northern side of the street, three streets from the primary retail strip and 900 metres from the station. The catchment primary school is within 1.2km and is at capacity, which historically supports family demand in the immediate blocks.</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Financial analysis</w:t>
            </w:r>
          </w:p>
          <w:p>
            <w:pPr>
              <w:keepNext/>
              <w:keepLines/>
              <w:pageBreakBefore w:val="0"/>
              <w:widowControl w:val="1"/>
              <w:spacing w:before="0" w:after="0"/>
            </w:pPr>
            <w:r>
              <w:rPr>
                <w:rFonts w:ascii="Calibri" w:hAnsi="Calibri" w:cs="Calibri" w:eastAsia="Calibri"/>
                <w:b w:val="0"/>
                <w:i w:val="0"/>
                <w:caps w:val="1"/>
                <w:color w:val="12B0CE"/>
                <w:spacing w:val="22"/>
                <w:sz w:val="14"/>
                <w:u w:val="none"/>
              </w:rPr>
              <w:t>Acquisition and holding</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Acquisition costs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cquisition costs"/>
        <w:tblDescription w:val="Columns: Item, Basis, Amount, Notes"/>
      </w:tblPr>
      <w:tblGrid>
        <w:gridCol w:w="2948"/>
        <w:gridCol w:w="2268"/>
        <w:gridCol w:w="1814"/>
        <w:gridCol w:w="3061"/>
      </w:tblGrid>
      <w:tr>
        <w:trPr>
          <w:cantSplit/>
          <w:trHeight w:val="420" w:hRule="atLeast"/>
          <w:tblHeader/>
        </w:trPr>
        <w:tc>
          <w:tcPr>
            <w:tcW w:type="dxa" w:w="294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26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81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306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Notes</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Purchase price</w:t>
            </w:r>
          </w:p>
        </w:tc>
        <w:tc>
          <w:tcPr>
            <w:tcW w:type="dxa" w:w="226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Recommended maximum</w:t>
            </w:r>
          </w:p>
        </w:tc>
        <w:tc>
          <w:tcPr>
            <w:tcW w:type="dxa" w:w="181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$865,000</w:t>
            </w:r>
          </w:p>
        </w:tc>
        <w:tc>
          <w:tcPr>
            <w:tcW w:type="dxa" w:w="30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Stamp duty</w:t>
            </w:r>
          </w:p>
        </w:tc>
        <w:tc>
          <w:tcPr>
            <w:tcW w:type="dxa" w:w="226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NSW, investor</w:t>
            </w:r>
          </w:p>
        </w:tc>
        <w:tc>
          <w:tcPr>
            <w:tcW w:type="dxa" w:w="181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$34,290</w:t>
            </w:r>
          </w:p>
        </w:tc>
        <w:tc>
          <w:tcPr>
            <w:tcW w:type="dxa" w:w="30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Legal and conveyancing</w:t>
            </w:r>
          </w:p>
        </w:tc>
        <w:tc>
          <w:tcPr>
            <w:tcW w:type="dxa" w:w="226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fee</w:t>
            </w:r>
          </w:p>
        </w:tc>
        <w:tc>
          <w:tcPr>
            <w:tcW w:type="dxa" w:w="181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$1,800</w:t>
            </w:r>
          </w:p>
        </w:tc>
        <w:tc>
          <w:tcPr>
            <w:tcW w:type="dxa" w:w="30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Quoted</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and pest</w:t>
            </w:r>
          </w:p>
        </w:tc>
        <w:tc>
          <w:tcPr>
            <w:tcW w:type="dxa" w:w="226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fee</w:t>
            </w:r>
          </w:p>
        </w:tc>
        <w:tc>
          <w:tcPr>
            <w:tcW w:type="dxa" w:w="181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$650</w:t>
            </w:r>
          </w:p>
        </w:tc>
        <w:tc>
          <w:tcPr>
            <w:tcW w:type="dxa" w:w="30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Completed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and valuation fees</w:t>
            </w:r>
          </w:p>
        </w:tc>
        <w:tc>
          <w:tcPr>
            <w:tcW w:type="dxa" w:w="226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c>
          <w:tcPr>
            <w:tcW w:type="dxa" w:w="181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$1,100</w:t>
            </w:r>
          </w:p>
        </w:tc>
        <w:tc>
          <w:tcPr>
            <w:tcW w:type="dxa" w:w="30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dependent</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Buyer's agency fee</w:t>
            </w:r>
          </w:p>
        </w:tc>
        <w:tc>
          <w:tcPr>
            <w:tcW w:type="dxa" w:w="226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 engagement</w:t>
            </w:r>
          </w:p>
        </w:tc>
        <w:tc>
          <w:tcPr>
            <w:tcW w:type="dxa" w:w="181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$14,200</w:t>
            </w:r>
          </w:p>
        </w:tc>
        <w:tc>
          <w:tcPr>
            <w:tcW w:type="dxa" w:w="30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Incl. GST</w:t>
            </w:r>
          </w:p>
        </w:tc>
      </w:tr>
      <w:tr>
        <w:trPr>
          <w:cantSplit/>
          <w:trHeight w:val="397" w:hRule="atLeast"/>
        </w:trPr>
        <w:tc>
          <w:tcPr>
            <w:tcW w:type="dxa" w:w="294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acquisition cost</w:t>
            </w:r>
          </w:p>
        </w:tc>
        <w:tc>
          <w:tcPr>
            <w:tcW w:type="dxa" w:w="226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c>
          <w:tcPr>
            <w:tcW w:type="dxa" w:w="1814"/>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$917,040</w:t>
            </w:r>
          </w:p>
        </w:tc>
        <w:tc>
          <w:tcPr>
            <w:tcW w:type="dxa" w:w="3061"/>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Stamp duty is an estimate only and must be confirmed with the client's conveyancer. Figures exclude GST unless stated.</w:t>
      </w:r>
    </w:p>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First-year holding position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rst-year holding position"/>
        <w:tblDescription w:val="Columns: Item, Annual, Weekly, Basis"/>
      </w:tblPr>
      <w:tblGrid>
        <w:gridCol w:w="3288"/>
        <w:gridCol w:w="1928"/>
        <w:gridCol w:w="1701"/>
        <w:gridCol w:w="3175"/>
      </w:tblGrid>
      <w:tr>
        <w:trPr>
          <w:cantSplit/>
          <w:trHeight w:val="420" w:hRule="atLeast"/>
          <w:tblHeader/>
        </w:trPr>
        <w:tc>
          <w:tcPr>
            <w:tcW w:type="dxa" w:w="328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Annual</w:t>
            </w:r>
          </w:p>
        </w:tc>
        <w:tc>
          <w:tcPr>
            <w:tcW w:type="dxa" w:w="170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Weekly</w:t>
            </w:r>
          </w:p>
        </w:tc>
        <w:tc>
          <w:tcPr>
            <w:tcW w:type="dxa" w:w="317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income</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$39,780</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$765</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Appraised</w:t>
            </w:r>
          </w:p>
        </w:tc>
      </w:tr>
      <w:tr>
        <w:trPr>
          <w:cantSplit/>
          <w:trHeight w:val="397" w:hRule="atLeast"/>
        </w:trPr>
        <w:tc>
          <w:tcPr>
            <w:tcW w:type="dxa" w:w="328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rates</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-$2,140</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Actual</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Water and sewer</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-$1,180</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Actual</w:t>
            </w:r>
          </w:p>
        </w:tc>
      </w:tr>
      <w:tr>
        <w:trPr>
          <w:cantSplit/>
          <w:trHeight w:val="397" w:hRule="atLeast"/>
        </w:trPr>
        <w:tc>
          <w:tcPr>
            <w:tcW w:type="dxa" w:w="328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Insurance</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-$1,650</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Quoted</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Property management</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-$2,745</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-$53</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6.9% incl. GST</w:t>
            </w:r>
          </w:p>
        </w:tc>
      </w:tr>
      <w:tr>
        <w:trPr>
          <w:cantSplit/>
          <w:trHeight w:val="397" w:hRule="atLeast"/>
        </w:trPr>
        <w:tc>
          <w:tcPr>
            <w:tcW w:type="dxa" w:w="328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Repairs allowance</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-$1,500</w:t>
            </w:r>
          </w:p>
        </w:tc>
        <w:tc>
          <w:tcPr>
            <w:tcW w:type="dxa" w:w="170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Assumption</w:t>
            </w:r>
          </w:p>
        </w:tc>
      </w:tr>
      <w:tr>
        <w:trPr>
          <w:cantSplit/>
          <w:trHeight w:val="397" w:hRule="atLeast"/>
        </w:trPr>
        <w:tc>
          <w:tcPr>
            <w:tcW w:type="dxa" w:w="328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interest</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-$41,472</w:t>
            </w:r>
          </w:p>
        </w:tc>
        <w:tc>
          <w:tcPr>
            <w:tcW w:type="dxa" w:w="170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-$798</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6.4% on $648,000</w:t>
            </w:r>
          </w:p>
        </w:tc>
      </w:tr>
      <w:tr>
        <w:trPr>
          <w:cantSplit/>
          <w:trHeight w:val="397" w:hRule="atLeast"/>
        </w:trPr>
        <w:tc>
          <w:tcPr>
            <w:tcW w:type="dxa" w:w="328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Pre-tax position</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-$10,907</w:t>
            </w:r>
          </w:p>
        </w:tc>
        <w:tc>
          <w:tcPr>
            <w:tcW w:type="dxa" w:w="1701"/>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-$210</w:t>
            </w:r>
          </w:p>
        </w:tc>
        <w:tc>
          <w:tcPr>
            <w:tcW w:type="dxa" w:w="3175"/>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Cash-flow projection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Ten-year view</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515"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Cumulative after-tax position</w:t>
            </w:r>
          </w:p>
          <w:p>
            <w:pPr>
              <w:keepNext w:val="0"/>
              <w:keepLines/>
              <w:pageBreakBefore w:val="0"/>
              <w:widowControl w:val="1"/>
              <w:spacing w:before="0" w:after="60"/>
              <w:jc w:val="center"/>
            </w:pPr>
            <w:r>
              <w:rPr>
                <w:rFonts w:ascii="Calibri" w:hAnsi="Calibri" w:cs="Calibri" w:eastAsia="Calibri"/>
                <w:b/>
                <w:i w:val="0"/>
                <w:caps w:val="1"/>
                <w:color w:val="12B0CE"/>
                <w:spacing w:val="36"/>
                <w:sz w:val="15"/>
                <w:u w:val="none"/>
              </w:rPr>
              <w:t>[  LINE CHART  ]</w:t>
            </w:r>
          </w:p>
          <w:p>
            <w:pPr>
              <w:keepNext/>
              <w:keepLines/>
              <w:pageBreakBefore w:val="0"/>
              <w:widowControl w:val="1"/>
              <w:spacing w:before="0" w:after="0"/>
              <w:jc w:val="center"/>
            </w:pPr>
            <w:r>
              <w:rPr>
                <w:rFonts w:ascii="Calibri" w:hAnsi="Calibri" w:cs="Calibri" w:eastAsia="Calibri"/>
                <w:b w:val="0"/>
                <w:i w:val="0"/>
                <w:color w:val="8493A8"/>
                <w:sz w:val="14"/>
                <w:u w:val="none"/>
              </w:rPr>
              <w:t>{{cashflow.series}}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Ten years, nominal   ·   Source: Aurixa cash-flow model   ·   Alt text: Cumulative after-tax net position turns positive in year six</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Projection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3"/>
              <w:gridCol w:w="2884"/>
              <w:gridCol w:w="1923"/>
              <w:gridCol w:w="2884"/>
            </w:tblGrid>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Capital growth</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4.5% p.a.</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Rental growth</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p.a.</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Interest rate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6.40%, interest only 5 years</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 allowance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weeks p.a.</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Marginal tax rate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39% incl. Medicare</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Depreciation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Quantity surveyor estimate</w:t>
                  </w:r>
                </w:p>
              </w:tc>
            </w:tr>
          </w:tbl>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Comparable sales</w:t>
            </w:r>
          </w:p>
          <w:p>
            <w:pPr>
              <w:keepNext/>
              <w:keepLines/>
              <w:pageBreakBefore w:val="0"/>
              <w:widowControl w:val="1"/>
              <w:spacing w:before="0" w:after="0"/>
            </w:pPr>
            <w:r>
              <w:rPr>
                <w:rFonts w:ascii="Calibri" w:hAnsi="Calibri" w:cs="Calibri" w:eastAsia="Calibri"/>
                <w:b w:val="0"/>
                <w:i w:val="0"/>
                <w:caps w:val="1"/>
                <w:color w:val="12B0CE"/>
                <w:spacing w:val="22"/>
                <w:sz w:val="14"/>
                <w:u w:val="none"/>
              </w:rPr>
              <w:t>Evidence for the price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Recent comparable sales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ecent comparable sales"/>
        <w:tblDescription w:val="Columns: Address, Sold, Price, Land, Beds, Adjustment"/>
      </w:tblPr>
      <w:tblGrid>
        <w:gridCol w:w="2752"/>
        <w:gridCol w:w="1325"/>
        <w:gridCol w:w="1529"/>
        <w:gridCol w:w="1223"/>
        <w:gridCol w:w="917"/>
        <w:gridCol w:w="2344"/>
      </w:tblGrid>
      <w:tr>
        <w:trPr>
          <w:cantSplit/>
          <w:trHeight w:val="420" w:hRule="atLeast"/>
          <w:tblHeader/>
        </w:trPr>
        <w:tc>
          <w:tcPr>
            <w:tcW w:type="dxa" w:w="275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Address</w:t>
            </w:r>
          </w:p>
        </w:tc>
        <w:tc>
          <w:tcPr>
            <w:tcW w:type="dxa" w:w="132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Sold</w:t>
            </w:r>
          </w:p>
        </w:tc>
        <w:tc>
          <w:tcPr>
            <w:tcW w:type="dxa" w:w="1529"/>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Price</w:t>
            </w:r>
          </w:p>
        </w:tc>
        <w:tc>
          <w:tcPr>
            <w:tcW w:type="dxa" w:w="1223"/>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Land</w:t>
            </w:r>
          </w:p>
        </w:tc>
        <w:tc>
          <w:tcPr>
            <w:tcW w:type="dxa" w:w="917"/>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Beds</w:t>
            </w:r>
          </w:p>
        </w:tc>
        <w:tc>
          <w:tcPr>
            <w:tcW w:type="dxa" w:w="234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Adjustment</w:t>
            </w:r>
          </w:p>
        </w:tc>
      </w:tr>
      <w:tr>
        <w:trPr>
          <w:cantSplit/>
          <w:trHeight w:val="397" w:hRule="atLeast"/>
        </w:trPr>
        <w:tc>
          <w:tcPr>
            <w:tcW w:type="dxa" w:w="275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 Sample Avenue</w:t>
            </w:r>
          </w:p>
        </w:tc>
        <w:tc>
          <w:tcPr>
            <w:tcW w:type="dxa" w:w="13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Jun 2026</w:t>
            </w:r>
          </w:p>
        </w:tc>
        <w:tc>
          <w:tcPr>
            <w:tcW w:type="dxa" w:w="152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$872,000</w:t>
            </w:r>
          </w:p>
        </w:tc>
        <w:tc>
          <w:tcPr>
            <w:tcW w:type="dxa" w:w="1223"/>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498 m²</w:t>
            </w:r>
          </w:p>
        </w:tc>
        <w:tc>
          <w:tcPr>
            <w:tcW w:type="dxa" w:w="91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234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−$10,000 (condition)</w:t>
            </w:r>
          </w:p>
        </w:tc>
      </w:tr>
      <w:tr>
        <w:trPr>
          <w:cantSplit/>
          <w:trHeight w:val="397" w:hRule="atLeast"/>
        </w:trPr>
        <w:tc>
          <w:tcPr>
            <w:tcW w:type="dxa" w:w="275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Road</w:t>
            </w:r>
          </w:p>
        </w:tc>
        <w:tc>
          <w:tcPr>
            <w:tcW w:type="dxa" w:w="13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May 2026</w:t>
            </w:r>
          </w:p>
        </w:tc>
        <w:tc>
          <w:tcPr>
            <w:tcW w:type="dxa" w:w="152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$845,000</w:t>
            </w:r>
          </w:p>
        </w:tc>
        <w:tc>
          <w:tcPr>
            <w:tcW w:type="dxa" w:w="1223"/>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521 m²</w:t>
            </w:r>
          </w:p>
        </w:tc>
        <w:tc>
          <w:tcPr>
            <w:tcW w:type="dxa" w:w="917"/>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234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+$15,000 (position)</w:t>
            </w:r>
          </w:p>
        </w:tc>
      </w:tr>
      <w:tr>
        <w:trPr>
          <w:cantSplit/>
          <w:trHeight w:val="397" w:hRule="atLeast"/>
        </w:trPr>
        <w:tc>
          <w:tcPr>
            <w:tcW w:type="dxa" w:w="275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Street</w:t>
            </w:r>
          </w:p>
        </w:tc>
        <w:tc>
          <w:tcPr>
            <w:tcW w:type="dxa" w:w="13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Apr 2026</w:t>
            </w:r>
          </w:p>
        </w:tc>
        <w:tc>
          <w:tcPr>
            <w:tcW w:type="dxa" w:w="152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$910,000</w:t>
            </w:r>
          </w:p>
        </w:tc>
        <w:tc>
          <w:tcPr>
            <w:tcW w:type="dxa" w:w="1223"/>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540 m²</w:t>
            </w:r>
          </w:p>
        </w:tc>
        <w:tc>
          <w:tcPr>
            <w:tcW w:type="dxa" w:w="91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w:t>
            </w:r>
          </w:p>
        </w:tc>
        <w:tc>
          <w:tcPr>
            <w:tcW w:type="dxa" w:w="234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−$45,000 (size)</w:t>
            </w:r>
          </w:p>
        </w:tc>
      </w:tr>
      <w:tr>
        <w:trPr>
          <w:cantSplit/>
          <w:trHeight w:val="397" w:hRule="atLeast"/>
        </w:trPr>
        <w:tc>
          <w:tcPr>
            <w:tcW w:type="dxa" w:w="275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17 Demo Close</w:t>
            </w:r>
          </w:p>
        </w:tc>
        <w:tc>
          <w:tcPr>
            <w:tcW w:type="dxa" w:w="13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2026</w:t>
            </w:r>
          </w:p>
        </w:tc>
        <w:tc>
          <w:tcPr>
            <w:tcW w:type="dxa" w:w="152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$838,000</w:t>
            </w:r>
          </w:p>
        </w:tc>
        <w:tc>
          <w:tcPr>
            <w:tcW w:type="dxa" w:w="1223"/>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486 m²</w:t>
            </w:r>
          </w:p>
        </w:tc>
        <w:tc>
          <w:tcPr>
            <w:tcW w:type="dxa" w:w="917"/>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234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+$22,000 (renovated)</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Adjustments are the analyst's assessment relative to the subject property.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Risks &amp; mitigations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could go wrong</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8"/>
          <w:sz w:val="15"/>
          <w:u w:val="none"/>
        </w:rPr>
        <w:t>Risks and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nd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Rising damp to the rear wall requires remediation</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a fixed-price rectification quote and negotiate a price reduction of no less than the quoted amount before exchange.</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Fixed tenancy expires in four months at below-market rent</w:t>
            </w:r>
          </w:p>
        </w:tc>
        <w:tc>
          <w:tcPr>
            <w:tcW w:type="dxa" w:w="1413"/>
            <w:tcBorders>
              <w:top w:val="nil"/>
              <w:left w:val="nil"/>
              <w:bottom w:val="single" w:sz="4" w:space="0" w:color="DCE3ED"/>
              <w:right w:val="nil"/>
            </w:tcBorders>
            <w:shd w:val="clear" w:color="auto" w:fill="E6F6E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Rent is $25/week below appraisal; re-letting at market improves yield. Budget two weeks vacancy at changeover.</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Interest rates rise beyond the assumed 6.40%</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Position is stress-tested at +2%; holding cost rises to $214/week, which exceeds the client's stated budget.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09</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Recommendation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decision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Proceed to offer at or below $865,000, subject to building and pest, finance, and a price adjustment for damp remediation.</w:t>
            </w:r>
          </w:p>
          <w:p>
            <w:pPr>
              <w:keepNext w:val="0"/>
              <w:keepLines/>
              <w:pageBreakBefore w:val="0"/>
              <w:widowControl w:val="1"/>
              <w:spacing w:before="0" w:after="0" w:line="317" w:lineRule="auto"/>
            </w:pPr>
            <w:r>
              <w:rPr>
                <w:rFonts w:ascii="Calibri" w:hAnsi="Calibri" w:cs="Calibri" w:eastAsia="Calibri"/>
                <w:b w:val="0"/>
                <w:i w:val="0"/>
                <w:color w:val="10192A"/>
                <w:sz w:val="17"/>
                <w:u w:val="none"/>
              </w:rPr>
              <w:t>The property clears the yield and holding-cost thresholds set in the client brief, is supported by four adjusted comparable sales, and sits in a suburb with a ten-year growth record above the metropolitan average. The identified defects are quantifiable and are best dealt with as a price adjustment rather than a condition of the contract.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Obtain a fixed-price damp rectification quote.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Issue an offer at $865,000 less the quoted rectification amount.</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Confirm finance approval covers the adjusted purchase price.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4.</w:t>
            </w:r>
            <w:r>
              <w:rPr>
                <w:rFonts w:ascii="Calibri" w:hAnsi="Calibri" w:cs="Calibri" w:eastAsia="Calibri"/>
                <w:b w:val="0"/>
                <w:i w:val="0"/>
                <w:color w:val="10192A"/>
                <w:sz w:val="19"/>
                <w:u w:val="none"/>
              </w:rPr>
              <w:tab/>
              <w:t>Instruct the conveyancer to review the residential tenancy agreement.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701"/>
        <w:gridCol w:w="8391"/>
      </w:tblGrid>
      <w:tr>
        <w:trPr>
          <w:cantSplit/>
        </w:trPr>
        <w:tc>
          <w:tcPr>
            <w:tcW w:type="dxa" w:w="1701"/>
            <w:tcBorders>
              <w:top w:val="single" w:sz="4" w:space="0" w:color="C2CDDC"/>
              <w:left w:val="single" w:sz="4" w:space="0" w:color="C2CDDC"/>
              <w:bottom w:val="single" w:sz="4" w:space="0" w:color="C2CDDC"/>
              <w:right w:val="single" w:sz="4" w:space="0" w:color="C2CDDC"/>
            </w:tcBorders>
            <w:shd w:val="clear" w:color="auto" w:fill="EDF1F7"/>
            <w:tcMar>
              <w:top w:w="400" w:type="dxa"/>
              <w:left w:w="90" w:type="dxa"/>
              <w:bottom w:w="400" w:type="dxa"/>
              <w:right w:w="90" w:type="dxa"/>
            </w:tcMar>
          </w:tcPr>
          <w:p>
            <w:pPr>
              <w:keepNext w:val="0"/>
              <w:keepLines/>
              <w:pageBreakBefore w:val="0"/>
              <w:widowControl w:val="1"/>
              <w:spacing w:before="0" w:after="0"/>
              <w:jc w:val="center"/>
            </w:pPr>
            <w:r>
              <w:rPr>
                <w:rFonts w:ascii="Calibri" w:hAnsi="Calibri" w:cs="Calibri" w:eastAsia="Calibri"/>
                <w:b/>
                <w:i w:val="0"/>
                <w:caps w:val="1"/>
                <w:color w:val="8493A8"/>
                <w:spacing w:val="24"/>
                <w:sz w:val="14"/>
                <w:u w:val="none"/>
              </w:rPr>
              <w:t>PHOTO</w:t>
            </w:r>
          </w:p>
        </w:tc>
        <w:tc>
          <w:tcPr>
            <w:tcW w:type="dxa" w:w="8391"/>
            <w:tcBorders>
              <w:top w:val="single" w:sz="4" w:space="0" w:color="DCE3ED"/>
              <w:left w:val="nil"/>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Your adviser</w:t>
            </w:r>
          </w:p>
          <w:p>
            <w:pPr>
              <w:keepNext w:val="0"/>
              <w:keepLines/>
              <w:pageBreakBefore w:val="0"/>
              <w:widowControl w:val="1"/>
              <w:spacing w:before="0" w:after="20"/>
            </w:pPr>
            <w:r>
              <w:rPr>
                <w:rFonts w:ascii="Calibri" w:hAnsi="Calibri" w:cs="Calibri" w:eastAsia="Calibri"/>
                <w:b/>
                <w:i w:val="0"/>
                <w:color w:val="0C2340"/>
                <w:sz w:val="21"/>
                <w:u w:val="none"/>
              </w:rPr>
              <w:t>A. Nguyen</w:t>
            </w:r>
          </w:p>
          <w:p>
            <w:pPr>
              <w:keepNext w:val="0"/>
              <w:keepLines/>
              <w:pageBreakBefore w:val="0"/>
              <w:widowControl w:val="1"/>
              <w:spacing w:before="0" w:after="100"/>
            </w:pPr>
            <w:r>
              <w:rPr>
                <w:rFonts w:ascii="Calibri" w:hAnsi="Calibri" w:cs="Calibri" w:eastAsia="Calibri"/>
                <w:b w:val="0"/>
                <w:i w:val="0"/>
                <w:color w:val="4C5B73"/>
                <w:sz w:val="17"/>
                <w:u w:val="none"/>
              </w:rPr>
              <w:t>Senior Adviser   ›   Licensed agent</w:t>
            </w:r>
          </w:p>
          <w:p>
            <w:pPr>
              <w:keepNext w:val="0"/>
              <w:keepLines/>
              <w:pageBreakBefore w:val="0"/>
              <w:widowControl w:val="1"/>
              <w:spacing w:before="0" w:after="0" w:line="317" w:lineRule="auto"/>
            </w:pPr>
            <w:r>
              <w:rPr>
                <w:rFonts w:ascii="Calibri" w:hAnsi="Calibri" w:cs="Calibri" w:eastAsia="Calibri"/>
                <w:b w:val="0"/>
                <w:i w:val="0"/>
                <w:color w:val="10192A"/>
                <w:sz w:val="17"/>
                <w:u w:val="none"/>
              </w:rPr>
              <w:t>Licensed buyer's agent specialising in established residential stock across the lower north shore.</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7"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Licensed real estate agent (NSW)</w:t>
            </w:r>
          </w:p>
          <w:p>
            <w:pPr>
              <w:keepNext w:val="0"/>
              <w:keepLines/>
              <w:pageBreakBefore w:val="0"/>
              <w:widowControl w:val="1"/>
              <w:spacing w:before="80" w:after="0" w:line="317"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Member, Real Estate Buyers Agents Association</w:t>
            </w:r>
          </w:p>
          <w:p>
            <w:pPr>
              <w:keepNext w:val="0"/>
              <w:keepLines/>
              <w:pageBreakBefore w:val="0"/>
              <w:widowControl w:val="1"/>
              <w:spacing w:before="120" w:after="0"/>
            </w:pPr>
            <w:r>
              <w:rPr>
                <w:rFonts w:ascii="Calibri" w:hAnsi="Calibri" w:cs="Calibri" w:eastAsia="Calibri"/>
                <w:b w:val="0"/>
                <w:i w:val="0"/>
                <w:color w:val="8493A8"/>
                <w:sz w:val="14"/>
                <w:u w:val="none"/>
              </w:rPr>
              <w:t>a.nguyen@example.com.au   ·   (02) 8000 1234</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2B0CE"/>
          <w:spacing w:val="52"/>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Data sources &amp; provenance</w:t>
      </w:r>
    </w:p>
    <w:p>
      <w:pPr>
        <w:keepNext w:val="0"/>
        <w:keepLines/>
        <w:pageBreakBefore w:val="0"/>
        <w:widowControl w:val="1"/>
        <w:pBdr>
          <w:bottom w:val="single" w:sz="10" w:space="1" w:color="12B0CE"/>
        </w:pBdr>
        <w:spacing w:before="0" w:after="120" w:line="20" w:lineRule="exact"/>
      </w:pPr>
      <w:r>
        <w:rPr>
          <w:sz w:val="2"/>
        </w:rPr>
      </w:r>
    </w:p>
    <w:p>
      <w:pPr>
        <w:keepNext w:val="0"/>
        <w:keepLines/>
        <w:pageBreakBefore w:val="0"/>
        <w:widowControl w:val="1"/>
        <w:spacing w:before="0" w:after="0" w:line="317" w:lineRule="auto"/>
      </w:pPr>
      <w:r>
        <w:rPr>
          <w:rFonts w:ascii="Calibri" w:hAnsi="Calibri" w:cs="Calibri" w:eastAsia="Calibri"/>
          <w:b w:val="0"/>
          <w:i w:val="0"/>
          <w:color w:val="4C5B73"/>
          <w:sz w:val="19"/>
          <w:u w:val="none"/>
        </w:rPr>
        <w:t>Every figure in this report and where it came from.</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Data, Source, As at"/>
      </w:tblPr>
      <w:tblGrid>
        <w:gridCol w:w="3402"/>
        <w:gridCol w:w="4535"/>
        <w:gridCol w:w="2154"/>
      </w:tblGrid>
      <w:tr>
        <w:trPr>
          <w:cantSplit/>
          <w:trHeight w:val="420" w:hRule="atLeast"/>
          <w:tblHeader/>
        </w:trPr>
        <w:tc>
          <w:tcPr>
            <w:tcW w:type="dxa" w:w="3402"/>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Data</w:t>
            </w:r>
          </w:p>
        </w:tc>
        <w:tc>
          <w:tcPr>
            <w:tcW w:type="dxa" w:w="453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15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34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Comparable sales</w:t>
            </w:r>
          </w:p>
        </w:tc>
        <w:tc>
          <w:tcPr>
            <w:tcW w:type="dxa" w:w="453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valuer-general records</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01/07/2026</w:t>
            </w:r>
          </w:p>
        </w:tc>
      </w:tr>
      <w:tr>
        <w:trPr>
          <w:cantSplit/>
          <w:trHeight w:val="397" w:hRule="atLeast"/>
        </w:trPr>
        <w:tc>
          <w:tcPr>
            <w:tcW w:type="dxa" w:w="34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appraisal</w:t>
            </w:r>
          </w:p>
        </w:tc>
        <w:tc>
          <w:tcPr>
            <w:tcW w:type="dxa" w:w="453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Independent managing agent</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18/07/2026</w:t>
            </w:r>
          </w:p>
        </w:tc>
      </w:tr>
      <w:tr>
        <w:trPr>
          <w:cantSplit/>
          <w:trHeight w:val="397" w:hRule="atLeast"/>
        </w:trPr>
        <w:tc>
          <w:tcPr>
            <w:tcW w:type="dxa" w:w="340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Suburb growth</w:t>
            </w:r>
          </w:p>
        </w:tc>
        <w:tc>
          <w:tcPr>
            <w:tcW w:type="dxa" w:w="453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215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3402"/>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condition</w:t>
            </w:r>
          </w:p>
        </w:tc>
        <w:tc>
          <w:tcPr>
            <w:tcW w:type="dxa" w:w="453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Licensed building inspector</w:t>
            </w:r>
          </w:p>
        </w:tc>
        <w:tc>
          <w:tcPr>
            <w:tcW w:type="dxa" w:w="215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22/07/2026</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val="0"/>
        <w:keepLines/>
        <w:pageBreakBefore w:val="0"/>
        <w:widowControl w:val="1"/>
        <w:spacing w:before="0" w:after="0"/>
      </w:pPr>
      <w:r>
        <w:br w:type="page"/>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C2340"/>
              <w:left w:val="single" w:sz="4" w:space="0" w:color="0C2340"/>
              <w:bottom w:val="single" w:sz="4" w:space="0" w:color="0C2340"/>
              <w:right w:val="single" w:sz="4" w:space="0" w:color="0C2340"/>
            </w:tcBorders>
            <w:shd w:val="clear" w:color="auto" w:fill="0C2340"/>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Calibri" w:hAnsi="Calibri" w:cs="Calibri" w:eastAsia="Calibri"/>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40"/>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Property Investment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Investment Report</dc:title>
  <dc:subject>Full investment case for a single property: the asset, the numbers, the risks and a clear buy / do-not-buy recommendation.</dc:subject>
  <dc:creator>Aurixa Systems</dc:creator>
  <cp:keywords>Property investment, Investment analysis, Acquisition case,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