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40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64"/>
                <w:sz w:val="16"/>
                <w:u w:val="none"/>
              </w:rPr>
              <w:t>{{review.period}}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6"/>
                <w:sz w:val="60"/>
                <w:u w:val="none"/>
              </w:rPr>
              <w:t>{{review.title}}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{{review.subtitle}}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PERFORMANCE</w:t>
                  </w:r>
                </w:p>
              </w:tc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INTERNAL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01   Period at a glance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Four headline measures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REVENUE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NEW CLIENTS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SETTLEMENTS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NPS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{{headline.revenue}}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8.1% vs target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{{headline.newClients}}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5 vs target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{{headline.settlements}}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▼ 11.9% vs target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{{headline.nps}}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4 pts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44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AVG ENGAGEMENT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UTILISATION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PIPELINE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RETENTION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{{headline.averageValue}}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22.7%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{{headline.utilisation}}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6 pts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{{headline.pipeline}}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14% QoQ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{{headline.retention}}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— flat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44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5"/>
                <w:u w:val="none"/>
              </w:rPr>
              <w:t>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{{review.headline}}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{{review.summary}}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2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{{review.takeaways[0]}}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{{review.takeaways[1]}}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{{review.takeaways[2]}}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02   Results against target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Every measure, one table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Results against target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esults against target"/>
        <w:tblDescription w:val="Columns: Measure, Target, Actual, Variance, Prior qtr, Movement"/>
      </w:tblPr>
      <w:tblGrid>
        <w:gridCol w:w="2677"/>
        <w:gridCol w:w="1545"/>
        <w:gridCol w:w="1545"/>
        <w:gridCol w:w="1339"/>
        <w:gridCol w:w="1545"/>
        <w:gridCol w:w="1442"/>
      </w:tblGrid>
      <w:tr>
        <w:trPr>
          <w:cantSplit/>
          <w:trHeight w:val="420" w:hRule="atLeast"/>
          <w:tblHeader/>
        </w:trPr>
        <w:tc>
          <w:tcPr>
            <w:tcW w:type="dxa" w:w="267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Measure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Target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Actual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Variance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Prior qtr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Movement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Variance is actual against target. Movement is actual against the prior quarter on the same basis.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03   Trend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Four quarters, one axis convention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288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8"/>
                <w:u w:val="none"/>
              </w:rPr>
              <w:t>Revenue by service line, last four quarters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[  STACKED COLUMN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{{results.series}}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The same axis convention is used every period so editions compare   ·   Source: Finance system, quarter close   ·   Alt text: Advisory and compliance grow in each of the last four quarters while transactional revenue declines</w:t>
      </w:r>
    </w:p>
    <w:p>
      <w:pPr>
        <w:keepNext w:val="0"/>
        <w:keepLines/>
        <w:pageBreakBefore w:val="0"/>
        <w:widowControl w:val="1"/>
        <w:spacing w:before="0" w:after="0" w:line="12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061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8"/>
                <w:u w:val="none"/>
              </w:rPr>
              <w:t>Revenue and settlements against target, by month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[  COMBINATION COLUMN AND LINE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{{results.monthly}}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Revenue ahead of target in each month; volume behind it   ·   Source: Finance system   ·   Alt text: Monthly revenue exceeds target while settlement volume falls short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04   Pipeline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Position entering the next quarter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Pipeline value by stage, quarter close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26"/>
        <w:gridCol w:w="5651"/>
        <w:gridCol w:w="1615"/>
      </w:tblGrid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{{stage.name}}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0C234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{{stage.value}}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{{stage.name}}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{{stage.value}}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{{stage.name}}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12B0C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{{stage.value}}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{{stage.name}}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5B96E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{{stage.value}}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{{stage.name}}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0E8AA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{{stage.value}}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Values are expected fee revenue, unweighted. Weighted pipeline at the same date is $3.1m.</w:t>
      </w:r>
    </w:p>
    <w:p>
      <w:pPr>
        <w:keepNext w:val="0"/>
        <w:keepLines/>
        <w:pageBreakBefore w:val="0"/>
        <w:widowControl w:val="1"/>
        <w:spacing w:before="0" w:after="0" w:line="144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Pipeline detail by stage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ipeline detail by stage"/>
        <w:tblDescription w:val="Columns: Stage, Count, Value, Avg age, Conversion, Movement"/>
      </w:tblPr>
      <w:tblGrid>
        <w:gridCol w:w="2268"/>
        <w:gridCol w:w="1134"/>
        <w:gridCol w:w="1814"/>
        <w:gridCol w:w="1361"/>
        <w:gridCol w:w="1928"/>
        <w:gridCol w:w="1587"/>
      </w:tblGrid>
      <w:tr>
        <w:trPr>
          <w:cantSplit/>
          <w:trHeight w:val="420" w:hRule="atLeast"/>
          <w:tblHeader/>
        </w:trPr>
        <w:tc>
          <w:tcPr>
            <w:tcW w:type="dxa" w:w="22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Stage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Count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Value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Avg age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Conversion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Movement</w:t>
            </w:r>
          </w:p>
        </w:tc>
      </w:tr>
      <w:tr>
        <w:trPr>
          <w:cantSplit/>
          <w:trHeight w:val="397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{{stage}}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{{age}}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{{conversion}}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{{stage}}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{{age}}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{{conversion}}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{{stage}}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{{age}}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{{conversion}}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{{stage}}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{{age}}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{{conversion}}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{{stage}}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{{age}}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{{conversion}}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2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pipeline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154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$6,900,000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—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—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▲ 14%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05   Client outcomes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Evidence, not assertion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5"/>
                <w:u w:val="none"/>
              </w:rPr>
              <w:t>{{outcome.title}}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97"/>
              <w:gridCol w:w="7275"/>
            </w:tblGrid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{{outcome.label}}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{{outcome.value}}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99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5"/>
                <w:u w:val="none"/>
              </w:rPr>
              <w:t>{{outcome.title}}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97"/>
              <w:gridCol w:w="7275"/>
            </w:tblGrid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{{outcome.label}}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{{outcome.value}}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99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5"/>
                <w:u w:val="none"/>
              </w:rPr>
              <w:t>{{outcome.title}}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97"/>
              <w:gridCol w:w="7275"/>
            </w:tblGrid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{{outcome.label}}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{{outcome.value}}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99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06   Issues &amp; blockers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What is impeding performance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32"/>
          <w:sz w:val="15"/>
          <w:u w:val="none"/>
        </w:rPr>
        <w:t>Issues and blockers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Issues and blocker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{{issue.description}}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{{issue.action}}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{{issue.description}}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{{issue.action}}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{{issue.description}}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{{issue.action}}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{{issue.description}}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{{issue.action}}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07   Priorities next period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Owners and dates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Priorities for the coming quarter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, Item, Owner, Due, Status"/>
      </w:tblPr>
      <w:tblGrid>
        <w:gridCol w:w="444"/>
        <w:gridCol w:w="5101"/>
        <w:gridCol w:w="1774"/>
        <w:gridCol w:w="1331"/>
        <w:gridCol w:w="1442"/>
      </w:tblGrid>
      <w:tr>
        <w:trPr>
          <w:cantSplit/>
          <w:trHeight w:val="420" w:hRule="atLeast"/>
          <w:tblHeader/>
        </w:trPr>
        <w:tc>
          <w:tcPr>
            <w:tcW w:type="dxa" w:w="44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</w:p>
        </w:tc>
        <w:tc>
          <w:tcPr>
            <w:tcW w:type="dxa" w:w="510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{{priorities[0]}}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{{priorities[1]}}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{{priorities[2]}}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{{priorities[3]}}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{{priorities[4]}}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44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Key dates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454"/>
        <w:gridCol w:w="7620"/>
      </w:tblGrid>
      <w:tr>
        <w:trPr>
          <w:cantSplit/>
          <w:trHeight w:val="567" w:hRule="atLeast"/>
        </w:trPr>
        <w:tc>
          <w:tcPr>
            <w:tcW w:type="dxa" w:w="2018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56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Detail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Full measure detail behind the summary tables, on the same basis as the finance system quarter close.</w:t>
      </w:r>
    </w:p>
    <w:p>
      <w:pPr>
        <w:keepNext w:val="0"/>
        <w:keepLines/>
        <w:pageBreakBefore w:val="0"/>
        <w:widowControl w:val="1"/>
        <w:spacing w:before="0" w:after="0" w:line="108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Monthly detail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Monthly detail"/>
        <w:tblDescription w:val="Columns: Measure, Apr, May, Jun, Quarter, Target"/>
      </w:tblPr>
      <w:tblGrid>
        <w:gridCol w:w="2608"/>
        <w:gridCol w:w="1474"/>
        <w:gridCol w:w="1474"/>
        <w:gridCol w:w="1474"/>
        <w:gridCol w:w="1701"/>
        <w:gridCol w:w="1361"/>
      </w:tblGrid>
      <w:tr>
        <w:trPr>
          <w:cantSplit/>
          <w:trHeight w:val="420" w:hRule="atLeast"/>
          <w:tblHeader/>
        </w:trPr>
        <w:tc>
          <w:tcPr>
            <w:tcW w:type="dxa" w:w="260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Measure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Apr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May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Jun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Quarter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Target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{{m1}}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{{m2}}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{{m3}}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{{quarter}}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{{m1}}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{{m2}}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{{m3}}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{{quarter}}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{{m1}}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{{m2}}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{{m3}}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{{quarter}}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{{m1}}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{{m2}}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{{m3}}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{{quarter}}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{{m1}}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{{m2}}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{{m3}}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{{quarter}}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{{m1}}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{{m2}}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{{m3}}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{{quarter}}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Advisory utilisation for the quarter is the average of the three months, not the sum.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2"/>
              <w:sz w:val="14"/>
              <w:u w:val="none"/>
            </w:rPr>
            <w:t>Quarterly Business Review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26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Business Review</dc:title>
  <dc:subject>Periodic performance review: results against targets, pipeline, client outcomes, issues and the plan for the coming period.</dc:subject>
  <dc:creator>Aurixa Systems</dc:creator>
  <cp:keywords>QBR, Performance review, Periodic review, Business &amp; Advisory,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