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Switching analysis</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Refinance Assessment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Whether refinancing is worth doing, what it costs to switch, and after how many months it pays for itself.</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BREAK-EVEN</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 AT 31/07/26</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Verdict</w:t>
      </w:r>
    </w:p>
    <w:p>
      <w:pPr>
        <w:keepNext/>
        <w:keepLines/>
        <w:pageBreakBefore w:val="0"/>
        <w:widowControl w:val="1"/>
        <w:spacing w:before="100" w:after="0"/>
      </w:pPr>
      <w:r>
        <w:rPr>
          <w:rFonts w:ascii="Calibri" w:hAnsi="Calibri" w:cs="Calibri" w:eastAsia="Calibri"/>
          <w:b w:val="0"/>
          <w:i w:val="0"/>
          <w:color w:val="4C5B73"/>
          <w:sz w:val="15"/>
          <w:u w:val="none"/>
        </w:rPr>
        <w:t>The answer first</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58" w:type="dxa"/>
              <w:left w:w="184" w:type="dxa"/>
              <w:bottom w:w="158" w:type="dxa"/>
              <w:right w:w="184" w:type="dxa"/>
            </w:tcMar>
          </w:tcPr>
          <w:p>
            <w:pPr>
              <w:keepNext/>
              <w:keepLines/>
              <w:pageBreakBefore w:val="0"/>
              <w:widowControl w:val="1"/>
              <w:spacing w:before="0" w:after="100"/>
            </w:pPr>
            <w:r>
              <w:rPr>
                <w:rFonts w:ascii="Calibri" w:hAnsi="Calibri" w:cs="Calibri" w:eastAsia="Calibri"/>
                <w:b/>
                <w:i w:val="0"/>
                <w:caps w:val="1"/>
                <w:color w:val="1D6FE0"/>
                <w:spacing w:val="24"/>
                <w:sz w:val="15"/>
                <w:u w:val="none"/>
              </w:rPr>
              <w:t>VERDICT</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Refinance. The switch saves $4,128 a year and pays back its $2,340 cost in seven months.</w:t>
            </w:r>
          </w:p>
          <w:p>
            <w:pPr>
              <w:keepNext w:val="0"/>
              <w:keepLines/>
              <w:pageBreakBefore w:val="0"/>
              <w:widowControl w:val="1"/>
              <w:spacing w:before="0" w:after="0" w:line="307" w:lineRule="auto"/>
            </w:pPr>
            <w:r>
              <w:rPr>
                <w:rFonts w:ascii="Calibri" w:hAnsi="Calibri" w:cs="Calibri" w:eastAsia="Calibri"/>
                <w:b w:val="0"/>
                <w:i w:val="0"/>
                <w:color w:val="10192A"/>
                <w:sz w:val="17"/>
                <w:u w:val="none"/>
              </w:rPr>
              <w:t>Your current rate of 6.84% is 0.70% above the best available on your profile. On a balance of $589,400 that is $4,128 a year, against a total switching cost of $2,340. Even allowing for a further 0.15% of rate creep at the new lender over two years, the switch is clearly worthwhile.</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Next steps</w:t>
            </w:r>
          </w:p>
          <w:p>
            <w:pPr>
              <w:keepNext w:val="0"/>
              <w:keepLines/>
              <w:pageBreakBefore w:val="0"/>
              <w:widowControl w:val="1"/>
              <w:tabs>
                <w:tab w:val="left" w:pos="320"/>
              </w:tabs>
              <w:spacing w:before="0" w:after="0" w:line="307"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Confirm you are comfortable losing the redraw history on the current loan.</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Provide two recent payslips and the last twelve months of loan statements.</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We lodge the application; expect settlement in four to six weeks.</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Headline numbers</w:t>
      </w:r>
    </w:p>
    <w:p>
      <w:pPr>
        <w:keepNext/>
        <w:keepLines/>
        <w:pageBreakBefore w:val="0"/>
        <w:widowControl w:val="1"/>
        <w:spacing w:before="100" w:after="0"/>
      </w:pPr>
      <w:r>
        <w:rPr>
          <w:rFonts w:ascii="Calibri" w:hAnsi="Calibri" w:cs="Calibri" w:eastAsia="Calibri"/>
          <w:b w:val="0"/>
          <w:i w:val="0"/>
          <w:color w:val="4C5B73"/>
          <w:sz w:val="15"/>
          <w:u w:val="none"/>
        </w:rPr>
        <w:t>What changes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MONTHLY SAVING</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ANNUAL SAVING</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SWITCHING COST</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BREAK-EVEN</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$344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First year</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$4,128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current balance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$2,340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All fees</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7 months</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Cost recovered</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Current position</w:t>
      </w:r>
    </w:p>
    <w:p>
      <w:pPr>
        <w:keepNext/>
        <w:keepLines/>
        <w:pageBreakBefore w:val="0"/>
        <w:widowControl w:val="1"/>
        <w:spacing w:before="100" w:after="0"/>
      </w:pPr>
      <w:r>
        <w:rPr>
          <w:rFonts w:ascii="Calibri" w:hAnsi="Calibri" w:cs="Calibri" w:eastAsia="Calibri"/>
          <w:b w:val="0"/>
          <w:i w:val="0"/>
          <w:color w:val="4C5B73"/>
          <w:sz w:val="15"/>
          <w:u w:val="none"/>
        </w:rPr>
        <w:t>What you have now</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Current facility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urrent facility"/>
        <w:tblDescription w:val="Columns: Item, Detail"/>
      </w:tblPr>
      <w:tblGrid>
        <w:gridCol w:w="3969"/>
        <w:gridCol w:w="6123"/>
      </w:tblGrid>
      <w:tr>
        <w:trPr>
          <w:cantSplit/>
          <w:trHeight w:val="420" w:hRule="atLeast"/>
          <w:tblHeader/>
        </w:trPr>
        <w:tc>
          <w:tcPr>
            <w:tcW w:type="dxa" w:w="3969"/>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612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Detail</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Current lender</w:t>
            </w:r>
          </w:p>
        </w:tc>
      </w:tr>
      <w:tr>
        <w:trPr>
          <w:cantSplit/>
          <w:trHeight w:val="397" w:hRule="atLeast"/>
        </w:trPr>
        <w:tc>
          <w:tcPr>
            <w:tcW w:type="dxa" w:w="3969"/>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Product</w:t>
            </w:r>
          </w:p>
        </w:tc>
        <w:tc>
          <w:tcPr>
            <w:tcW w:type="dxa" w:w="612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 variable, investment</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Balance</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$589,400</w:t>
            </w:r>
          </w:p>
        </w:tc>
      </w:tr>
      <w:tr>
        <w:trPr>
          <w:cantSplit/>
          <w:trHeight w:val="397" w:hRule="atLeast"/>
        </w:trPr>
        <w:tc>
          <w:tcPr>
            <w:tcW w:type="dxa" w:w="3969"/>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Rate</w:t>
            </w:r>
          </w:p>
        </w:tc>
        <w:tc>
          <w:tcPr>
            <w:tcW w:type="dxa" w:w="612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6.84%</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Comparison rate</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6.91%</w:t>
            </w:r>
          </w:p>
        </w:tc>
      </w:tr>
      <w:tr>
        <w:trPr>
          <w:cantSplit/>
          <w:trHeight w:val="397" w:hRule="atLeast"/>
        </w:trPr>
        <w:tc>
          <w:tcPr>
            <w:tcW w:type="dxa" w:w="3969"/>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Repayment type</w:t>
            </w:r>
          </w:p>
        </w:tc>
        <w:tc>
          <w:tcPr>
            <w:tcW w:type="dxa" w:w="612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Principal and interest</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Remaining term</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26 years 4 months</w:t>
            </w:r>
          </w:p>
        </w:tc>
      </w:tr>
      <w:tr>
        <w:trPr>
          <w:cantSplit/>
          <w:trHeight w:val="397" w:hRule="atLeast"/>
        </w:trPr>
        <w:tc>
          <w:tcPr>
            <w:tcW w:type="dxa" w:w="3969"/>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Monthly repayment</w:t>
            </w:r>
          </w:p>
        </w:tc>
        <w:tc>
          <w:tcPr>
            <w:tcW w:type="dxa" w:w="612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$3,946</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 fees</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$395</w:t>
            </w:r>
          </w:p>
        </w:tc>
      </w:tr>
      <w:tr>
        <w:trPr>
          <w:cantSplit/>
          <w:trHeight w:val="397" w:hRule="atLeast"/>
        </w:trPr>
        <w:tc>
          <w:tcPr>
            <w:tcW w:type="dxa" w:w="3969"/>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Offset balance</w:t>
            </w:r>
          </w:p>
        </w:tc>
        <w:tc>
          <w:tcPr>
            <w:tcW w:type="dxa" w:w="612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$41,200</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portion</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Proposed position</w:t>
      </w:r>
    </w:p>
    <w:p>
      <w:pPr>
        <w:keepNext/>
        <w:keepLines/>
        <w:pageBreakBefore w:val="0"/>
        <w:widowControl w:val="1"/>
        <w:spacing w:before="100" w:after="0"/>
      </w:pPr>
      <w:r>
        <w:rPr>
          <w:rFonts w:ascii="Calibri" w:hAnsi="Calibri" w:cs="Calibri" w:eastAsia="Calibri"/>
          <w:b w:val="0"/>
          <w:i w:val="0"/>
          <w:color w:val="4C5B73"/>
          <w:sz w:val="15"/>
          <w:u w:val="none"/>
        </w:rPr>
        <w:t>What replaces it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Proposed facility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roposed facility"/>
        <w:tblDescription w:val="Columns: Item, Proposed, Current, Change"/>
      </w:tblPr>
      <w:tblGrid>
        <w:gridCol w:w="3175"/>
        <w:gridCol w:w="2494"/>
        <w:gridCol w:w="2494"/>
        <w:gridCol w:w="1928"/>
      </w:tblGrid>
      <w:tr>
        <w:trPr>
          <w:cantSplit/>
          <w:trHeight w:val="420" w:hRule="atLeast"/>
          <w:tblHeader/>
        </w:trPr>
        <w:tc>
          <w:tcPr>
            <w:tcW w:type="dxa" w:w="317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4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Proposed</w:t>
            </w:r>
          </w:p>
        </w:tc>
        <w:tc>
          <w:tcPr>
            <w:tcW w:type="dxa" w:w="24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Current</w:t>
            </w:r>
          </w:p>
        </w:tc>
        <w:tc>
          <w:tcPr>
            <w:tcW w:type="dxa" w:w="19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Change</w:t>
            </w:r>
          </w:p>
        </w:tc>
      </w:tr>
      <w:tr>
        <w:trPr>
          <w:cantSplit/>
          <w:trHeight w:val="397" w:hRule="atLeast"/>
        </w:trPr>
        <w:tc>
          <w:tcPr>
            <w:tcW w:type="dxa" w:w="317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Current lender</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317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Rate</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6.14%</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6.84%</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−0.70%</w:t>
            </w:r>
          </w:p>
        </w:tc>
      </w:tr>
      <w:tr>
        <w:trPr>
          <w:cantSplit/>
          <w:trHeight w:val="397" w:hRule="atLeast"/>
        </w:trPr>
        <w:tc>
          <w:tcPr>
            <w:tcW w:type="dxa" w:w="317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Comparison rate</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6.41%</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6.91%</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−0.50%</w:t>
            </w:r>
          </w:p>
        </w:tc>
      </w:tr>
      <w:tr>
        <w:trPr>
          <w:cantSplit/>
          <w:trHeight w:val="397" w:hRule="atLeast"/>
        </w:trPr>
        <w:tc>
          <w:tcPr>
            <w:tcW w:type="dxa" w:w="317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Balance</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$589,400</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$589,400</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317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Remaining term</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26 years 4 months</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26 years 4 months</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Retained</w:t>
            </w:r>
          </w:p>
        </w:tc>
      </w:tr>
      <w:tr>
        <w:trPr>
          <w:cantSplit/>
          <w:trHeight w:val="397" w:hRule="atLeast"/>
        </w:trPr>
        <w:tc>
          <w:tcPr>
            <w:tcW w:type="dxa" w:w="317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Monthly repayment</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$3,602</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$3,946</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−$344</w:t>
            </w:r>
          </w:p>
        </w:tc>
      </w:tr>
      <w:tr>
        <w:trPr>
          <w:cantSplit/>
          <w:trHeight w:val="397" w:hRule="atLeast"/>
        </w:trPr>
        <w:tc>
          <w:tcPr>
            <w:tcW w:type="dxa" w:w="317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 fees</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$395</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$395</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317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Offset account</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 100%</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 100%</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Retained</w:t>
            </w:r>
          </w:p>
        </w:tc>
      </w:tr>
      <w:tr>
        <w:trPr>
          <w:cantSplit/>
          <w:trHeight w:val="397" w:hRule="atLeast"/>
        </w:trPr>
        <w:tc>
          <w:tcPr>
            <w:tcW w:type="dxa" w:w="317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Interest over remaining term</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$549,180</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$657,940</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−$108,760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Term is deliberately retained rather than reset to 30 years. Resetting would lower the repayment further but would add approximately $71,000 of interest over the life of the loan.</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05  </w:t>
      </w:r>
      <w:r>
        <w:rPr>
          <w:rFonts w:ascii="Calibri" w:hAnsi="Calibri" w:cs="Calibri" w:eastAsia="Calibri"/>
          <w:b/>
          <w:i w:val="0"/>
          <w:caps w:val="1"/>
          <w:color w:val="0C2340"/>
          <w:spacing w:val="14"/>
          <w:sz w:val="25"/>
          <w:u w:val="none"/>
        </w:rPr>
        <w:t>Switching costs</w:t>
      </w:r>
    </w:p>
    <w:p>
      <w:pPr>
        <w:keepNext/>
        <w:keepLines/>
        <w:pageBreakBefore w:val="0"/>
        <w:widowControl w:val="1"/>
        <w:spacing w:before="100" w:after="0"/>
      </w:pPr>
      <w:r>
        <w:rPr>
          <w:rFonts w:ascii="Calibri" w:hAnsi="Calibri" w:cs="Calibri" w:eastAsia="Calibri"/>
          <w:b w:val="0"/>
          <w:i w:val="0"/>
          <w:color w:val="4C5B73"/>
          <w:sz w:val="15"/>
          <w:u w:val="none"/>
        </w:rPr>
        <w:t>What it costs to move</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Switching costs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witching costs"/>
        <w:tblDescription w:val="Columns: Cost, Amount, Payable to, Note"/>
      </w:tblPr>
      <w:tblGrid>
        <w:gridCol w:w="3515"/>
        <w:gridCol w:w="1474"/>
        <w:gridCol w:w="2608"/>
        <w:gridCol w:w="2494"/>
      </w:tblGrid>
      <w:tr>
        <w:trPr>
          <w:cantSplit/>
          <w:trHeight w:val="420" w:hRule="atLeast"/>
          <w:tblHeader/>
        </w:trPr>
        <w:tc>
          <w:tcPr>
            <w:tcW w:type="dxa" w:w="351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Cost</w:t>
            </w:r>
          </w:p>
        </w:tc>
        <w:tc>
          <w:tcPr>
            <w:tcW w:type="dxa" w:w="147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260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Payable to</w:t>
            </w:r>
          </w:p>
        </w:tc>
        <w:tc>
          <w:tcPr>
            <w:tcW w:type="dxa" w:w="24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Discharge fee</w:t>
            </w:r>
          </w:p>
        </w:tc>
        <w:tc>
          <w:tcPr>
            <w:tcW w:type="dxa" w:w="14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$350</w:t>
            </w:r>
          </w:p>
        </w:tc>
        <w:tc>
          <w:tcPr>
            <w:tcW w:type="dxa" w:w="260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Current lender</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Mortgage discharge registration</w:t>
            </w:r>
          </w:p>
        </w:tc>
        <w:tc>
          <w:tcPr>
            <w:tcW w:type="dxa" w:w="14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$174</w:t>
            </w:r>
          </w:p>
        </w:tc>
        <w:tc>
          <w:tcPr>
            <w:tcW w:type="dxa" w:w="260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registry</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fee</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Mortgage registration</w:t>
            </w:r>
          </w:p>
        </w:tc>
        <w:tc>
          <w:tcPr>
            <w:tcW w:type="dxa" w:w="14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$174</w:t>
            </w:r>
          </w:p>
        </w:tc>
        <w:tc>
          <w:tcPr>
            <w:tcW w:type="dxa" w:w="260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registry</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fee</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Settlement fee</w:t>
            </w:r>
          </w:p>
        </w:tc>
        <w:tc>
          <w:tcPr>
            <w:tcW w:type="dxa" w:w="14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$350</w:t>
            </w:r>
          </w:p>
        </w:tc>
        <w:tc>
          <w:tcPr>
            <w:tcW w:type="dxa" w:w="260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New lender</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Valuation fee</w:t>
            </w:r>
          </w:p>
        </w:tc>
        <w:tc>
          <w:tcPr>
            <w:tcW w:type="dxa" w:w="14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$0</w:t>
            </w:r>
          </w:p>
        </w:tc>
        <w:tc>
          <w:tcPr>
            <w:tcW w:type="dxa" w:w="260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New lender</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Waived under the package</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Application fee</w:t>
            </w:r>
          </w:p>
        </w:tc>
        <w:tc>
          <w:tcPr>
            <w:tcW w:type="dxa" w:w="14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$0</w:t>
            </w:r>
          </w:p>
        </w:tc>
        <w:tc>
          <w:tcPr>
            <w:tcW w:type="dxa" w:w="260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New lender</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Waived under the package</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Break cost</w:t>
            </w:r>
          </w:p>
        </w:tc>
        <w:tc>
          <w:tcPr>
            <w:tcW w:type="dxa" w:w="14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$0</w:t>
            </w:r>
          </w:p>
        </w:tc>
        <w:tc>
          <w:tcPr>
            <w:tcW w:type="dxa" w:w="260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Current lender</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fixed portion</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Legal / settlement agent</w:t>
            </w:r>
          </w:p>
        </w:tc>
        <w:tc>
          <w:tcPr>
            <w:tcW w:type="dxa" w:w="14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$1,292</w:t>
            </w:r>
          </w:p>
        </w:tc>
        <w:tc>
          <w:tcPr>
            <w:tcW w:type="dxa" w:w="260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Settlement agent</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w:t>
            </w:r>
          </w:p>
        </w:tc>
      </w:tr>
      <w:tr>
        <w:trPr>
          <w:cantSplit/>
          <w:trHeight w:val="397" w:hRule="atLeast"/>
        </w:trPr>
        <w:tc>
          <w:tcPr>
            <w:tcW w:type="dxa" w:w="3515"/>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switching cost</w:t>
            </w:r>
          </w:p>
        </w:tc>
        <w:tc>
          <w:tcPr>
            <w:tcW w:type="dxa" w:w="1474"/>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$2,340</w:t>
            </w:r>
          </w:p>
        </w:tc>
        <w:tc>
          <w:tcPr>
            <w:tcW w:type="dxa" w:w="260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2494"/>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06  </w:t>
      </w:r>
      <w:r>
        <w:rPr>
          <w:rFonts w:ascii="Calibri" w:hAnsi="Calibri" w:cs="Calibri" w:eastAsia="Calibri"/>
          <w:b/>
          <w:i w:val="0"/>
          <w:caps w:val="1"/>
          <w:color w:val="0C2340"/>
          <w:spacing w:val="14"/>
          <w:sz w:val="25"/>
          <w:u w:val="none"/>
        </w:rPr>
        <w:t>Break-even</w:t>
      </w:r>
    </w:p>
    <w:p>
      <w:pPr>
        <w:keepNext/>
        <w:keepLines/>
        <w:pageBreakBefore w:val="0"/>
        <w:widowControl w:val="1"/>
        <w:spacing w:before="100" w:after="0"/>
      </w:pPr>
      <w:r>
        <w:rPr>
          <w:rFonts w:ascii="Calibri" w:hAnsi="Calibri" w:cs="Calibri" w:eastAsia="Calibri"/>
          <w:b w:val="0"/>
          <w:i w:val="0"/>
          <w:color w:val="4C5B73"/>
          <w:sz w:val="15"/>
          <w:u w:val="none"/>
        </w:rPr>
        <w:t>When the switch pays for itself</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Cumulative saving against switching cost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Month 3</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706"/>
              <w:gridCol w:w="4945"/>
            </w:tblGrid>
            <w:tr>
              <w:trPr>
                <w:cantSplit/>
              </w:trPr>
              <w:tc>
                <w:tcPr>
                  <w:tcW w:type="dxa" w:w="706"/>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4945"/>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$1,032</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Month 6</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413"/>
              <w:gridCol w:w="4238"/>
            </w:tblGrid>
            <w:tr>
              <w:trPr>
                <w:cantSplit/>
              </w:trPr>
              <w:tc>
                <w:tcPr>
                  <w:tcW w:type="dxa" w:w="1413"/>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4238"/>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$2,064</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Month 7</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648"/>
              <w:gridCol w:w="4003"/>
            </w:tblGrid>
            <w:tr>
              <w:trPr>
                <w:cantSplit/>
              </w:trPr>
              <w:tc>
                <w:tcPr>
                  <w:tcW w:type="dxa" w:w="1648"/>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4003"/>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$2,408 — break-even</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Month 12</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2826"/>
            </w:tblGrid>
            <w:tr>
              <w:trPr>
                <w:cantSplit/>
              </w:trPr>
              <w:tc>
                <w:tcPr>
                  <w:tcW w:type="dxa" w:w="2826"/>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826"/>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$4,128</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Month 24</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34"/>
            </w:tblGrid>
            <w:tr>
              <w:trPr>
                <w:cantSplit/>
              </w:trPr>
              <w:tc>
                <w:tcPr>
                  <w:tcW w:type="dxa" w:w="5651"/>
                  <w:shd w:val="clear" w:color="auto" w:fill="0E8AA3"/>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val="0"/>
              <w:keepLines/>
              <w:pageBreakBefore w:val="0"/>
              <w:widowControl w:val="1"/>
              <w:spacing w:before="0" w:after="0"/>
              <w:jc w:val="right"/>
            </w:pPr>
            <w:r>
              <w:rPr>
                <w:rFonts w:ascii="Consolas" w:hAnsi="Consolas" w:cs="Consolas" w:eastAsia="Consolas"/>
                <w:b/>
                <w:i w:val="0"/>
                <w:color w:val="0C2340"/>
                <w:sz w:val="17"/>
                <w:u w:val="none"/>
              </w:rPr>
              <w:t>$8,256</w:t>
            </w:r>
          </w:p>
        </w:tc>
      </w:tr>
    </w:tbl>
    <w:p>
      <w:pPr>
        <w:keepNext w:val="0"/>
        <w:keepLines/>
        <w:pageBreakBefore w:val="0"/>
        <w:widowControl w:val="1"/>
        <w:spacing w:before="80" w:after="0"/>
      </w:pPr>
      <w:r>
        <w:rPr>
          <w:rFonts w:ascii="Calibri" w:hAnsi="Calibri" w:cs="Calibri" w:eastAsia="Calibri"/>
          <w:b w:val="0"/>
          <w:i/>
          <w:color w:val="8493A8"/>
          <w:sz w:val="14"/>
          <w:u w:val="none"/>
        </w:rPr>
        <w:t>Break-even is the month in which cumulative saving first exceeds the $2,340 switching cost. Savings after that point are net.</w:t>
      </w:r>
    </w:p>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07  </w:t>
      </w:r>
      <w:r>
        <w:rPr>
          <w:rFonts w:ascii="Calibri" w:hAnsi="Calibri" w:cs="Calibri" w:eastAsia="Calibri"/>
          <w:b/>
          <w:i w:val="0"/>
          <w:caps w:val="1"/>
          <w:color w:val="0C2340"/>
          <w:spacing w:val="14"/>
          <w:sz w:val="25"/>
          <w:u w:val="none"/>
        </w:rPr>
        <w:t>Considerations</w:t>
      </w:r>
    </w:p>
    <w:p>
      <w:pPr>
        <w:keepNext/>
        <w:keepLines/>
        <w:pageBreakBefore w:val="0"/>
        <w:widowControl w:val="1"/>
        <w:spacing w:before="100" w:after="0"/>
      </w:pPr>
      <w:r>
        <w:rPr>
          <w:rFonts w:ascii="Calibri" w:hAnsi="Calibri" w:cs="Calibri" w:eastAsia="Calibri"/>
          <w:b w:val="0"/>
          <w:i w:val="0"/>
          <w:color w:val="4C5B73"/>
          <w:sz w:val="15"/>
          <w:u w:val="none"/>
        </w:rPr>
        <w:t>What you give up</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4"/>
          <w:sz w:val="15"/>
          <w:u w:val="none"/>
        </w:rPr>
        <w:t>Considerations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sideration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Redraw history and available redraw are not transferred</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$18,400 of available redraw on the current loan will be lost. If you may need it, draw it into the offset before discharge.</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new credit enquiry is recorded</w:t>
            </w:r>
          </w:p>
        </w:tc>
        <w:tc>
          <w:tcPr>
            <w:tcW w:type="dxa" w:w="1413"/>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One enquiry has a minimal effect on your file. Avoid applying for other credit in the same period.</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new rate is not guaranteed until settlement</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rate may move before settlement. A rate lock is available for $750; on a $344 monthly saving it is worth taking only if settlement is more than eight weeks away.</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Introductory pricing may revert</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Confirm whether the 6.14% is an ongoing rate or a discount with an expiry. We have confirmed it is ongoing for the life of the package.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08  </w:t>
      </w:r>
      <w:r>
        <w:rPr>
          <w:rFonts w:ascii="Calibri" w:hAnsi="Calibri" w:cs="Calibri" w:eastAsia="Calibri"/>
          <w:b/>
          <w:i w:val="0"/>
          <w:caps w:val="1"/>
          <w:color w:val="0C2340"/>
          <w:spacing w:val="14"/>
          <w:sz w:val="25"/>
          <w:u w:val="none"/>
        </w:rPr>
        <w:t>Next steps</w:t>
      </w:r>
    </w:p>
    <w:p>
      <w:pPr>
        <w:keepNext/>
        <w:keepLines/>
        <w:pageBreakBefore w:val="0"/>
        <w:widowControl w:val="1"/>
        <w:spacing w:before="100" w:after="0"/>
      </w:pPr>
      <w:r>
        <w:rPr>
          <w:rFonts w:ascii="Calibri" w:hAnsi="Calibri" w:cs="Calibri" w:eastAsia="Calibri"/>
          <w:b w:val="0"/>
          <w:i w:val="0"/>
          <w:color w:val="4C5B73"/>
          <w:sz w:val="15"/>
          <w:u w:val="none"/>
        </w:rPr>
        <w:t>What we need from you</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Before we lodge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you accept the loss of the $18,400 redraw balance.</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Provide two recent payslips for each applicant.</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Provide the last twelve months of statements for the current loan.</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whether you want the $750 rate lock.</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Nominate a settlement agent, or ask us to appoint one.</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Refinance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Refinance Assessment</dc:title>
  <dc:subject>Whether refinancing is worthwhile: current position, proposed position, switching costs, break-even point and net benefit over the hold period.</dc:subject>
  <dc:creator>Aurixa Systems</dc:creator>
  <cp:keywords>Refinance, Loan review, Switching analysis,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