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Scored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Risk Profile Questionnaire</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A scored assessment of your tolerance for investment risk, the resulting profile, and your acknowledgement of it.</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Assessment date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How this works</w:t>
      </w:r>
    </w:p>
    <w:p>
      <w:pPr>
        <w:keepNext/>
        <w:keepLines/>
        <w:pageBreakBefore w:val="0"/>
        <w:widowControl w:val="1"/>
        <w:spacing w:before="0" w:after="100"/>
      </w:pPr>
      <w:r>
        <w:rPr>
          <w:rFonts w:ascii="Calibri" w:hAnsi="Calibri" w:cs="Calibri" w:eastAsia="Calibri"/>
          <w:b/>
          <w:i w:val="0"/>
          <w:caps w:val="1"/>
          <w:color w:val="4C5B73"/>
          <w:spacing w:val="26"/>
          <w:sz w:val="15"/>
          <w:u w:val="none"/>
        </w:rPr>
        <w:t>Method and scoring</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554AE"/>
                <w:spacing w:val="26"/>
                <w:sz w:val="15"/>
                <w:u w:val="none"/>
              </w:rPr>
              <w:t>How this works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Each question carries a score from 1 to 5. The total determines your risk profile band. The result is a starting point for a conversation, not a classification — if it does not reflect how you see yourself, say so and we will record an override with the reason.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Answer every question; an unanswered question scores zero.</w:t>
            </w:r>
          </w:p>
          <w:p>
            <w:pPr>
              <w:keepNext w:val="0"/>
              <w:keepLines/>
              <w:pageBreakBefore w:val="0"/>
              <w:widowControl w:val="1"/>
              <w:spacing w:before="80" w:after="0" w:line="312"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Answer as you actually are, not as you think you should be.</w:t>
            </w:r>
          </w:p>
          <w:p>
            <w:pPr>
              <w:keepNext w:val="0"/>
              <w:keepLines/>
              <w:pageBreakBefore w:val="0"/>
              <w:widowControl w:val="1"/>
              <w:spacing w:before="80" w:after="0" w:line="312"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Bands: 7–14 Conservative · 15–21 Moderate · 22–28 Balanced · 29–35 Growth.</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Questions</w:t>
      </w:r>
    </w:p>
    <w:p>
      <w:pPr>
        <w:keepNext/>
        <w:keepLines/>
        <w:pageBreakBefore w:val="0"/>
        <w:widowControl w:val="1"/>
        <w:spacing w:before="0" w:after="100"/>
      </w:pPr>
      <w:r>
        <w:rPr>
          <w:rFonts w:ascii="Calibri" w:hAnsi="Calibri" w:cs="Calibri" w:eastAsia="Calibri"/>
          <w:b/>
          <w:i w:val="0"/>
          <w:caps w:val="1"/>
          <w:color w:val="4C5B73"/>
          <w:spacing w:val="26"/>
          <w:sz w:val="15"/>
          <w:u w:val="none"/>
        </w:rPr>
        <w:t>Seven questions, scored 1 to 5</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Questionnaire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Questionnaire"/>
        <w:tblDescription w:val="Columns: Ref, Question, Response (1–5), Score"/>
      </w:tblPr>
      <w:tblGrid>
        <w:gridCol w:w="907"/>
        <w:gridCol w:w="4989"/>
        <w:gridCol w:w="2608"/>
        <w:gridCol w:w="1587"/>
      </w:tblGrid>
      <w:tr>
        <w:trPr>
          <w:cantSplit/>
          <w:tblHeader/>
        </w:trPr>
        <w:tc>
          <w:tcPr>
            <w:tcW w:type="dxa" w:w="90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498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Question</w:t>
            </w:r>
          </w:p>
        </w:tc>
        <w:tc>
          <w:tcPr>
            <w:tcW w:type="dxa" w:w="260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Response (1–5)</w:t>
            </w:r>
          </w:p>
        </w:tc>
        <w:tc>
          <w:tcPr>
            <w:tcW w:type="dxa" w:w="15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Score</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would you describe your investment experience?</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None → 5 Extensive</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your investment fell 20% in a year, what would you do?</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Sell all → 5 Buy more</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important is it that the value never falls?</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Critical → 5 Unimportant</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2.4</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Over what period are you investing?</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Under 3 yrs → 5 Over 15 yrs</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2.5</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much of your total wealth is this investment?</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Nearly all → 5 A small part</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How would you fund an unexpected shortfall?</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Could not → 5 Easily from income</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2.7</w:t>
            </w:r>
          </w:p>
        </w:tc>
        <w:tc>
          <w:tcPr>
            <w:tcW w:type="dxa" w:w="49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Which matters more — capital growth or income now?</w:t>
            </w:r>
          </w:p>
        </w:tc>
        <w:tc>
          <w:tcPr>
            <w:tcW w:type="dxa" w:w="260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Income only → 5 Growth only</w:t>
            </w:r>
          </w:p>
        </w:tc>
        <w:tc>
          <w:tcPr>
            <w:tcW w:type="dxa" w:w="1587"/>
            <w:tcBorders>
              <w:top w:val="nil"/>
              <w:left w:val="nil"/>
              <w:bottom w:val="single" w:sz="4" w:space="0" w:color="DCE3ED"/>
              <w:right w:val="nil"/>
            </w:tcBorders>
            <w:shd w:val="clear" w:color="auto" w:fill="EAF1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Enter one score per row in the final column. Bands are stated in section one and applied in section three.</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Score &amp; profile</w:t>
      </w:r>
    </w:p>
    <w:p>
      <w:pPr>
        <w:keepNext/>
        <w:keepLines/>
        <w:pageBreakBefore w:val="0"/>
        <w:widowControl w:val="1"/>
        <w:spacing w:before="0" w:after="100"/>
      </w:pPr>
      <w:r>
        <w:rPr>
          <w:rFonts w:ascii="Calibri" w:hAnsi="Calibri" w:cs="Calibri" w:eastAsia="Calibri"/>
          <w:b/>
          <w:i w:val="0"/>
          <w:caps w:val="1"/>
          <w:color w:val="4C5B73"/>
          <w:spacing w:val="26"/>
          <w:sz w:val="15"/>
          <w:u w:val="none"/>
        </w:rPr>
        <w:t>The outcome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TOTAL SCORE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BAND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PROFILE</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ASSESSED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 / 35</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Sum of section two</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Per section one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Assessed</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___ / ___ / ______</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Date</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4   </w:t>
      </w:r>
      <w:r>
        <w:rPr>
          <w:rFonts w:ascii="Calibri" w:hAnsi="Calibri" w:cs="Calibri" w:eastAsia="Calibri"/>
          <w:b w:val="0"/>
          <w:i w:val="0"/>
          <w:color w:val="0C2340"/>
          <w:sz w:val="34"/>
          <w:u w:val="none"/>
        </w:rPr>
        <w:t>Profile description</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profile means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Profile description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312"/>
              <w:gridCol w:w="7322"/>
            </w:tblGrid>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Conservative (7–14)</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prioritise capital preservation over return. Geared property investment is unlikely to suit you.</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Moderate (15–21)</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accept limited variability for a modest return improvement. Low-gearing, income-focused strategies suit.</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Balanced (22–28)</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accept meaningful variability for a meaningful return improvement. Standard gearing and a mixed growth/income strategy suit.</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Growth (29–35)</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You accept substantial variability, including periods of negative return, in pursuit of long-term growth. Higher gearing and growth-weighted strategies suit.</w:t>
                  </w:r>
                </w:p>
              </w:tc>
            </w:tr>
          </w:tbl>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5   </w:t>
      </w:r>
      <w:r>
        <w:rPr>
          <w:rFonts w:ascii="Calibri" w:hAnsi="Calibri" w:cs="Calibri" w:eastAsia="Calibri"/>
          <w:b w:val="0"/>
          <w:i w:val="0"/>
          <w:color w:val="0C2340"/>
          <w:sz w:val="34"/>
          <w:u w:val="none"/>
        </w:rPr>
        <w:t>Client acknowledgement</w:t>
      </w:r>
    </w:p>
    <w:p>
      <w:pPr>
        <w:keepNext/>
        <w:keepLines/>
        <w:pageBreakBefore w:val="0"/>
        <w:widowControl w:val="1"/>
        <w:spacing w:before="0" w:after="100"/>
      </w:pPr>
      <w:r>
        <w:rPr>
          <w:rFonts w:ascii="Calibri" w:hAnsi="Calibri" w:cs="Calibri" w:eastAsia="Calibri"/>
          <w:b/>
          <w:i w:val="0"/>
          <w:caps w:val="1"/>
          <w:color w:val="4C5B73"/>
          <w:spacing w:val="26"/>
          <w:sz w:val="15"/>
          <w:u w:val="none"/>
        </w:rPr>
        <w:t>Your confirmation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Client acknowledgement</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 confirm that I answered these questions honestly, that the resulting profile reflects my tolerance for investment risk as I understand it today, and that I will tell my adviser if my circumstances or my attitude to risk change materially.</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6   </w:t>
      </w:r>
      <w:r>
        <w:rPr>
          <w:rFonts w:ascii="Calibri" w:hAnsi="Calibri" w:cs="Calibri" w:eastAsia="Calibri"/>
          <w:b w:val="0"/>
          <w:i w:val="0"/>
          <w:color w:val="0C2340"/>
          <w:sz w:val="34"/>
          <w:u w:val="none"/>
        </w:rPr>
        <w:t>Override</w:t>
      </w:r>
    </w:p>
    <w:p>
      <w:pPr>
        <w:keepNext/>
        <w:keepLines/>
        <w:pageBreakBefore w:val="0"/>
        <w:widowControl w:val="1"/>
        <w:spacing w:before="0" w:after="100"/>
      </w:pPr>
      <w:r>
        <w:rPr>
          <w:rFonts w:ascii="Calibri" w:hAnsi="Calibri" w:cs="Calibri" w:eastAsia="Calibri"/>
          <w:b/>
          <w:i w:val="0"/>
          <w:caps w:val="1"/>
          <w:color w:val="4C5B73"/>
          <w:spacing w:val="26"/>
          <w:sz w:val="15"/>
          <w:u w:val="none"/>
        </w:rPr>
        <w:t>Where the score does not fit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Override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312"/>
              <w:gridCol w:w="7322"/>
            </w:tblGrid>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Assessed profile</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___</w:t>
                  </w: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Profile applied instead</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Reason for the override</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agrees to the override</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r>
              <w:trPr>
                <w:cantSplit/>
                <w:trHeight w:val="431" w:hRule="atLeast"/>
              </w:trPr>
              <w:tc>
                <w:tcPr>
                  <w:tcW w:type="dxa" w:w="2312"/>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Approved by</w:t>
                  </w:r>
                </w:p>
              </w:tc>
              <w:tc>
                <w:tcPr>
                  <w:tcW w:type="dxa" w:w="7322"/>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p>
              </w:tc>
            </w:tr>
          </w:tbl>
          <w:p/>
          <w:p>
            <w:pPr>
              <w:keepNext w:val="0"/>
              <w:keepLines/>
              <w:pageBreakBefore w:val="0"/>
              <w:widowControl w:val="1"/>
              <w:spacing w:before="120" w:after="0"/>
            </w:pPr>
            <w:r>
              <w:rPr>
                <w:rFonts w:ascii="Calibri" w:hAnsi="Calibri" w:cs="Calibri" w:eastAsia="Calibri"/>
                <w:b w:val="0"/>
                <w:i/>
                <w:color w:val="8493A8"/>
                <w:sz w:val="14"/>
                <w:u w:val="none"/>
              </w:rPr>
              <w:t>An override is permitted but must be documented with a reason. A profile applied without a recorded reason will fail file review.</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7   </w:t>
      </w:r>
      <w:r>
        <w:rPr>
          <w:rFonts w:ascii="Calibri" w:hAnsi="Calibri" w:cs="Calibri" w:eastAsia="Calibri"/>
          <w:b w:val="0"/>
          <w:i w:val="0"/>
          <w:color w:val="0C2340"/>
          <w:sz w:val="34"/>
          <w:u w:val="none"/>
        </w:rPr>
        <w:t>Signatures</w:t>
      </w:r>
    </w:p>
    <w:p>
      <w:pPr>
        <w:keepNext/>
        <w:keepLines/>
        <w:pageBreakBefore w:val="0"/>
        <w:widowControl w:val="1"/>
        <w:spacing w:before="0" w:after="100"/>
      </w:pPr>
      <w:r>
        <w:rPr>
          <w:rFonts w:ascii="Calibri" w:hAnsi="Calibri" w:cs="Calibri" w:eastAsia="Calibri"/>
          <w:b/>
          <w:i w:val="0"/>
          <w:caps w:val="1"/>
          <w:color w:val="4C5B73"/>
          <w:spacing w:val="26"/>
          <w:sz w:val="15"/>
          <w:u w:val="none"/>
        </w:rPr>
        <w:t>Client and adviser</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26"/>
                <w:sz w:val="16"/>
                <w:u w:val="none"/>
              </w:rPr>
              <w:t>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26"/>
                <w:sz w:val="16"/>
                <w:u w:val="none"/>
              </w:rPr>
              <w:t>Adviser</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8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Reviewer sign-off</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{{author.name}}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{{reviewer.name}}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9   </w:t>
      </w:r>
      <w:r>
        <w:rPr>
          <w:rFonts w:ascii="Calibri" w:hAnsi="Calibri" w:cs="Calibri" w:eastAsia="Calibri"/>
          <w:b w:val="0"/>
          <w:i w:val="0"/>
          <w:color w:val="0C2340"/>
          <w:sz w:val="34"/>
          <w:u w:val="none"/>
        </w:rPr>
        <w:t>Privacy</w:t>
      </w:r>
    </w:p>
    <w:p>
      <w:pPr>
        <w:keepNext/>
        <w:keepLines/>
        <w:pageBreakBefore w:val="0"/>
        <w:widowControl w:val="1"/>
        <w:spacing w:before="0" w:after="100"/>
      </w:pPr>
      <w:r>
        <w:rPr>
          <w:rFonts w:ascii="Calibri" w:hAnsi="Calibri" w:cs="Calibri" w:eastAsia="Calibri"/>
          <w:b/>
          <w:i w:val="0"/>
          <w:caps w:val="1"/>
          <w:color w:val="4C5B73"/>
          <w:spacing w:val="26"/>
          <w:sz w:val="15"/>
          <w:u w:val="none"/>
        </w:rPr>
        <w:t>How we handle your information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Risk Profile Questionnaire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Profile Questionnaire</dc:title>
  <dc:subject>Scored risk-tolerance assessment with a recorded outcome, the client's acknowledgement, and any override with its reason.</dc:subject>
  <dc:creator>Aurixa Systems</dc:creator>
  <cp:keywords>Risk profile, Risk tolerance, Suitability,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