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Limited-recourse borrowing arrangement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SMSF Finance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Example Family Superannuation Fund — fund, trustee, asset and lender requirements assessed before the arrangement is entered into.</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LRBA</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REFERRAL REQUIRED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considers whether a limited-recourse borrowing arrangement is viable and whether it satisfies the lender's and the fund's structural requirements. It is not financial product advice, superannuation advice, tax advice or legal advice, and it does not consider whether the acquisition is appropriate for the fund's investment strategy.</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Reviewed: fund deed, trustee structure, member balances, lender criteria.</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reviewed: the fund's investment strategy or its appropriateness.</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reviewed: the tax consequences for the fund or its members.</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The trustees must obtain independent licensed advice before proceeding.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Assessment outcome</w:t>
      </w:r>
    </w:p>
    <w:p>
      <w:pPr>
        <w:keepNext/>
        <w:keepLines/>
        <w:pageBreakBefore w:val="0"/>
        <w:widowControl w:val="1"/>
        <w:spacing w:before="0" w:after="100"/>
      </w:pPr>
      <w:r>
        <w:rPr>
          <w:rFonts w:ascii="Calibri" w:hAnsi="Calibri" w:cs="Calibri" w:eastAsia="Calibri"/>
          <w:b/>
          <w:i w:val="0"/>
          <w:caps w:val="1"/>
          <w:color w:val="4C5B73"/>
          <w:spacing w:val="26"/>
          <w:sz w:val="15"/>
          <w:u w:val="none"/>
        </w:rPr>
        <w:t>Viable, conditional or not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CONDITIONAL</w:t>
            </w:r>
          </w:p>
          <w:p>
            <w:pPr>
              <w:keepNext w:val="0"/>
              <w:keepLines/>
              <w:pageBreakBefore w:val="0"/>
              <w:widowControl w:val="1"/>
              <w:spacing w:before="0" w:after="120" w:line="298" w:lineRule="auto"/>
            </w:pPr>
            <w:r>
              <w:rPr>
                <w:rFonts w:ascii="Calibri" w:hAnsi="Calibri" w:cs="Calibri" w:eastAsia="Calibri"/>
                <w:b/>
                <w:i w:val="0"/>
                <w:color w:val="0C2340"/>
                <w:sz w:val="22"/>
                <w:u w:val="none"/>
              </w:rPr>
              <w:t>Conditionally viable. The arrangement satisfies the lender's criteria subject to four outstanding structural items and independent licensed advice.</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The fund's balance, contribution history and the proposed asset all meet the lender's criteria comfortably. Liquidity after acquisition is adequate at 14.2 months of expenses and repayments, above the lender's 12-month minimum.</w:t>
            </w:r>
          </w:p>
          <w:p>
            <w:pPr>
              <w:keepNext w:val="0"/>
              <w:keepLines/>
              <w:pageBreakBefore w:val="0"/>
              <w:widowControl w:val="1"/>
              <w:spacing w:before="80" w:after="0" w:line="312" w:lineRule="auto"/>
            </w:pPr>
            <w:r>
              <w:rPr>
                <w:rFonts w:ascii="Calibri" w:hAnsi="Calibri" w:cs="Calibri" w:eastAsia="Calibri"/>
                <w:b w:val="0"/>
                <w:i w:val="0"/>
                <w:color w:val="10192A"/>
                <w:sz w:val="17"/>
                <w:u w:val="none"/>
              </w:rPr>
              <w:t>Four structural items are outstanding: the bare trust is not yet established, the holding trustee is not yet incorporated, the fund deed has not been reviewed for LRBA capacity, and the investment strategy has not been updated to contemplate a geared property acquisition.</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Establish the bare trust and incorporate the holding trustee before exchange.</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Obtain a deed review confirming LRBA capacity.</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Update the investment strategy before the arrangement is entered into.</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Obtain independent licensed financial advice for the members.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Fund details</w:t>
      </w:r>
    </w:p>
    <w:p>
      <w:pPr>
        <w:keepNext/>
        <w:keepLines/>
        <w:pageBreakBefore w:val="0"/>
        <w:widowControl w:val="1"/>
        <w:spacing w:before="0" w:after="100"/>
      </w:pPr>
      <w:r>
        <w:rPr>
          <w:rFonts w:ascii="Calibri" w:hAnsi="Calibri" w:cs="Calibri" w:eastAsia="Calibri"/>
          <w:b/>
          <w:i w:val="0"/>
          <w:caps w:val="1"/>
          <w:color w:val="4C5B73"/>
          <w:spacing w:val="26"/>
          <w:sz w:val="15"/>
          <w:u w:val="none"/>
        </w:rPr>
        <w:t>The fund and its trustees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Fund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Fund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Family Superannuation Fund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42 123 456 789</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Established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March 2014</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structure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Corporate trustee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entity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Super Pty Ltd (ACN 601 234 567)</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 both directors of the trustee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Total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$1,284,600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1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$742,800</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2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$541,800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Contributions p.a.</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$54,000 concessional</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liquid assets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$318,400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Compliance status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Complying; last audit clear</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Structure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must exist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Structural requirements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tructural requirements"/>
        <w:tblDescription w:val="Columns: Ref, Requirement, Position, Evidence, Status"/>
      </w:tblPr>
      <w:tblGrid>
        <w:gridCol w:w="868"/>
        <w:gridCol w:w="3038"/>
        <w:gridCol w:w="2387"/>
        <w:gridCol w:w="2387"/>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Corporate trustee for the fund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 place since 2014</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extract</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deed permits borrowing under an LRBA</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yet confirmed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Deed review requested</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Bare trust established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established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 be prepared by the fund's solicitor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 trustee incorporated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incorporated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 be incorporated before exchange</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 trustee is not the fund trustee</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Confirmed in the plan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Structure diagram</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Single acquirable asset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 title, one dwelling</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4.7</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strategy contemplates geared property</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updated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Strategy dated 2023</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related-party acquisition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Arm's length vendor</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Contract of sale</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Contribution &amp; liquidity</w:t>
      </w:r>
    </w:p>
    <w:p>
      <w:pPr>
        <w:keepNext/>
        <w:keepLines/>
        <w:pageBreakBefore w:val="0"/>
        <w:widowControl w:val="1"/>
        <w:spacing w:before="0" w:after="100"/>
      </w:pPr>
      <w:r>
        <w:rPr>
          <w:rFonts w:ascii="Calibri" w:hAnsi="Calibri" w:cs="Calibri" w:eastAsia="Calibri"/>
          <w:b/>
          <w:i w:val="0"/>
          <w:caps w:val="1"/>
          <w:color w:val="4C5B73"/>
          <w:spacing w:val="26"/>
          <w:sz w:val="15"/>
          <w:u w:val="none"/>
        </w:rPr>
        <w:t>Can the fund carry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Contribution and liquidity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liquidity"/>
        <w:tblDescription w:val="Columns: Item, Annual, Monthly, Note"/>
      </w:tblPr>
      <w:tblGrid>
        <w:gridCol w:w="3628"/>
        <w:gridCol w:w="1701"/>
        <w:gridCol w:w="1587"/>
        <w:gridCol w:w="3175"/>
      </w:tblGrid>
      <w:tr>
        <w:trPr>
          <w:cantSplit/>
          <w:trHeight w:val="420" w:hRule="atLeast"/>
          <w:tblHeader/>
        </w:trPr>
        <w:tc>
          <w:tcPr>
            <w:tcW w:type="dxa" w:w="362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Monthly</w:t>
            </w:r>
          </w:p>
        </w:tc>
        <w:tc>
          <w:tcPr>
            <w:tcW w:type="dxa" w:w="317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Concessional contributions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$54,000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$4,500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members, at cap</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 proposed asset</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$34,320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$2,860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of vacancy</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income — existing assets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$28,400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$2,367</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Dividends and interest</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repayments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-$46,800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-$3,900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over 20 years</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outgoings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-$742</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Rates, insurance, management</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administration and audit</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 premiums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-$533</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Member policies</w:t>
            </w:r>
          </w:p>
        </w:tc>
      </w:tr>
      <w:tr>
        <w:trPr>
          <w:cantSplit/>
          <w:trHeight w:val="397" w:hRule="atLeast"/>
        </w:trPr>
        <w:tc>
          <w:tcPr>
            <w:tcW w:type="dxa" w:w="3628"/>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Net position</w:t>
            </w:r>
          </w:p>
        </w:tc>
        <w:tc>
          <w:tcPr>
            <w:tcW w:type="dxa" w:w="1701"/>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$50,420</w:t>
            </w:r>
          </w:p>
        </w:tc>
        <w:tc>
          <w:tcPr>
            <w:tcW w:type="dxa" w:w="1587"/>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$4,202</w:t>
            </w:r>
          </w:p>
        </w:tc>
        <w:tc>
          <w:tcPr>
            <w:tcW w:type="dxa" w:w="3175"/>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Liquidity buffer after acquisition is $318,400 against annual outgoings and repayments of $66,300 — 4.8 years of cover, well above the lender's 12-month minimum.</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Lender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Each one, with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Lender criteria</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criteria"/>
        <w:tblDescription w:val="Columns: Ref, Requirement, Threshold, Position, Status"/>
      </w:tblPr>
      <w:tblGrid>
        <w:gridCol w:w="897"/>
        <w:gridCol w:w="3364"/>
        <w:gridCol w:w="1906"/>
        <w:gridCol w:w="2467"/>
        <w:gridCol w:w="1458"/>
      </w:tblGrid>
      <w:tr>
        <w:trPr>
          <w:cantSplit/>
          <w:tblHeader/>
        </w:trPr>
        <w:tc>
          <w:tcPr>
            <w:tcW w:type="dxa" w:w="89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6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190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Threshold</w:t>
            </w:r>
          </w:p>
        </w:tc>
        <w:tc>
          <w:tcPr>
            <w:tcW w:type="dxa" w:w="246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145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6.1</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fund balance</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$200,000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$1,284,600</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6.2</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Maximum LVR</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62.5%</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6.3</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Liquidity after settlement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months</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 years</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loan</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$150,000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$480,000</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Contribution history</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years</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 years</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6.6</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Personal guarantees from members</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Required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members agree</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6.7</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Bare trust documentation</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Before formal approval</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established</w:t>
            </w:r>
          </w:p>
        </w:tc>
        <w:tc>
          <w:tcPr>
            <w:tcW w:type="dxa" w:w="1458"/>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Independent legal advice certificate</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Required at settlement</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obtained</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Servicing</w:t>
      </w:r>
    </w:p>
    <w:p>
      <w:pPr>
        <w:keepNext/>
        <w:keepLines/>
        <w:pageBreakBefore w:val="0"/>
        <w:widowControl w:val="1"/>
        <w:spacing w:before="0" w:after="100"/>
      </w:pPr>
      <w:r>
        <w:rPr>
          <w:rFonts w:ascii="Calibri" w:hAnsi="Calibri" w:cs="Calibri" w:eastAsia="Calibri"/>
          <w:b/>
          <w:i w:val="0"/>
          <w:caps w:val="1"/>
          <w:color w:val="4C5B73"/>
          <w:spacing w:val="26"/>
          <w:sz w:val="15"/>
          <w:u w:val="none"/>
        </w:rPr>
        <w:t>Fund-level calculation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Fund servicing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 servicing"/>
        <w:tblDescription w:val="Columns: Line, Description, Amount p.a."/>
      </w:tblPr>
      <w:tblGrid>
        <w:gridCol w:w="1134"/>
        <w:gridCol w:w="6009"/>
        <w:gridCol w:w="2948"/>
      </w:tblGrid>
      <w:tr>
        <w:trPr>
          <w:cantSplit/>
          <w:trHeight w:val="420" w:hRule="atLeast"/>
          <w:tblHeader/>
        </w:trPr>
        <w:tc>
          <w:tcPr>
            <w:tcW w:type="dxa" w:w="113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600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294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7.01</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rental income (80% shading)</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$27,456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7.02</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Concessional contributions (100%)</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$54,000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7.03</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income (100%)</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$28,400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7.04</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Total assessed income</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$109,856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7.05</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repayment at assessment rate of 9.15%</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-$58,320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7.06</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outgoings</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7.07</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running costs</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7.08</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Surplus</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$32,036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7.09</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surplus ratio</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1.41</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The lender shades rental income to 80% and assesses repayments at a 9.15% rate over 20 years. Contributions are accepted at 100% given an eleven-year history at or near the cap.</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Risks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trustees must weigh</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Single-asset concentration</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proposed asset would represent 51% of fund assets. Trustees must satisfy themselves this is consistent with the diversification requirements of their investment strategy.</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Member event — death, disability or departure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member benefit payment could force a sale of an illiquid asset. Review insurance cover inside the fund before proceeding.</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Contribution caps change or contributions stop</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Servicing relies on $54,000 of contributions. Model the position with contributions at zero; surplus falls to a deficit of $21,964.</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Refinancing an LRBA is constrained</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Few lenders offer LRBA refinance. Assume the arrangement is held to term.</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Structural non-compliance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An incorrectly established bare trust can jeopardise the fund's complying status. Use a solicitor experienced in LRBAs, not a template.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09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proceeding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a deed review confirming the fund may borrow under an LRBA.</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Establish the bare trust through a solicitor experienced in LRBAs.</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Incorporate the holding trustee company.</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Update the fund's investment strategy to contemplate geared property.</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independent licensed financial advice for both members.</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the independent legal advice certificate required at settlement.</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Professional referrals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does not substitute for advice the trustees are required to obtain. Independent licensed financial advice, legal advice on the bare trust, and accounting advice on the tax consequences are each required before the arrangement is entered into.</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10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Prepared and reviewed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{{author.name}}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{{reviewer.name}}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Trustee acknowledgement</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{{fund.trustee}}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SMSF 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SMSF Finance Assessment</dc:title>
  <dc:subject>Assessment of a limited-recourse borrowing arrangement for a self-managed super fund, against fund, trustee, asset and lender requirements.</dc:subject>
  <dc:creator>Aurixa Systems</dc:creator>
  <cp:keywords>SMSF, LRBA, Superannuation lending,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