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Typical streetscape, Northbridge</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Location research</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Northbridge, NSW 2063</w:t>
            </w:r>
          </w:p>
          <w:p>
            <w:pPr>
              <w:keepNext w:val="0"/>
              <w:keepLines/>
              <w:pageBreakBefore w:val="0"/>
              <w:widowControl w:val="1"/>
              <w:spacing w:before="0" w:after="0" w:line="322" w:lineRule="auto"/>
            </w:pPr>
            <w:r>
              <w:rPr>
                <w:rFonts w:ascii="Calibri" w:hAnsi="Calibri" w:cs="Calibri" w:eastAsia="Calibri"/>
                <w:b w:val="0"/>
                <w:i w:val="0"/>
                <w:color w:val="AFC0D6"/>
                <w:sz w:val="22"/>
                <w:u w:val="none"/>
              </w:rPr>
              <w:t>Demographics, supply, demand, price and rent history, infrastructure and outlook — and whether the location supports your strategy.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10-YEAR DATA</w:t>
                  </w:r>
                </w:p>
              </w:tc>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AS AT 30/06/26</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Snapshot</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Where the market sits today</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MEDIAN — HOUSE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12-MONTH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GROSS YIELD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VACANCY</w:t>
            </w:r>
          </w:p>
        </w:tc>
      </w:tr>
      <w:tr>
        <w:trPr>
          <w:cantSplit/>
        </w:trPr>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$1,842,000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12 months to Jun 26</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Houses</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Houses</w:t>
            </w:r>
          </w:p>
        </w:tc>
        <w:tc>
          <w:tcPr>
            <w:tcW w:type="dxa" w:w="2523"/>
            <w:tcBorders>
              <w:bottom w:val="single" w:sz="8" w:space="0" w:color="12B0CE"/>
              <w:right w:val="nil"/>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1.1%</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Below the 2.5% balance point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Executive summary</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location thesis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A supply-constrained, owner-occupier-dominated suburb with strong ten-year growth and a yield too low for a cash-flow strategy.</w:t>
            </w:r>
          </w:p>
          <w:p>
            <w:pPr>
              <w:keepNext w:val="0"/>
              <w:keepLines/>
              <w:pageBreakBefore w:val="0"/>
              <w:widowControl w:val="1"/>
              <w:spacing w:before="0" w:after="0" w:line="317" w:lineRule="auto"/>
            </w:pPr>
            <w:r>
              <w:rPr>
                <w:rFonts w:ascii="Calibri" w:hAnsi="Calibri" w:cs="Calibri" w:eastAsia="Calibri"/>
                <w:b w:val="0"/>
                <w:i w:val="0"/>
                <w:color w:val="10192A"/>
                <w:sz w:val="19"/>
                <w:u w:val="none"/>
              </w:rPr>
              <w:t>Northbridge has recorded 6.1% compound annual growth over ten years against a metropolitan average of 5.4%. The outperformance is explained almost entirely by supply: the suburb is fully built out, holds a 550m² minimum lot size, and has averaged 41 house sales a year against a stock of roughly 2,100 dwellings — a turnover rate of under 2%.</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The same constraint produces the weakness. Gross yield of 2.9% is well below the 4.2% threshold in your brief, and vacancy at 1.1% reflects an owner-occupier market rather than a deep rental one. Seventy-one per cent of dwellings are owner-occupied.</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The suburb suits a growth-weighted, long-hold strategy funded from other income. It does not suit a portfolio that needs each asset to carry itself.</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What this means</w:t>
            </w:r>
          </w:p>
          <w:p>
            <w:pPr>
              <w:keepNext w:val="0"/>
              <w:keepLines/>
              <w:pageBreakBefore w:val="0"/>
              <w:widowControl w:val="1"/>
              <w:spacing w:before="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Ten-year growth of 6.1% p.a. against a 5.4% metropolitan average.</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Yield of 2.9% is below your 4.2% threshold — this is a growth play.</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Turnover under 2% of stock per year; expect to wait for the right property.</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No material new supply is possible under the current planning controls.</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Market performance</w:t>
            </w:r>
          </w:p>
          <w:p>
            <w:pPr>
              <w:keepNext/>
              <w:keepLines/>
              <w:pageBreakBefore w:val="0"/>
              <w:widowControl w:val="1"/>
              <w:spacing w:before="0" w:after="0"/>
            </w:pPr>
            <w:r>
              <w:rPr>
                <w:rFonts w:ascii="Calibri" w:hAnsi="Calibri" w:cs="Calibri" w:eastAsia="Calibri"/>
                <w:b w:val="0"/>
                <w:i w:val="0"/>
                <w:caps w:val="1"/>
                <w:color w:val="12B0CE"/>
                <w:spacing w:val="22"/>
                <w:sz w:val="14"/>
                <w:u w:val="none"/>
              </w:rPr>
              <w:t>Ten years of price and rent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175"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Median price and median rent, 10 years</w:t>
            </w:r>
          </w:p>
          <w:p>
            <w:pPr>
              <w:keepNext w:val="0"/>
              <w:keepLines/>
              <w:pageBreakBefore w:val="0"/>
              <w:widowControl w:val="1"/>
              <w:spacing w:before="0" w:after="60"/>
              <w:jc w:val="center"/>
            </w:pPr>
            <w:r>
              <w:rPr>
                <w:rFonts w:ascii="Calibri" w:hAnsi="Calibri" w:cs="Calibri" w:eastAsia="Calibri"/>
                <w:b/>
                <w:i w:val="0"/>
                <w:caps w:val="1"/>
                <w:color w:val="12B0CE"/>
                <w:spacing w:val="36"/>
                <w:sz w:val="15"/>
                <w:u w:val="none"/>
              </w:rPr>
              <w:t>[  DUAL-AXIS LINE CHART  ]</w:t>
            </w:r>
          </w:p>
          <w:p>
            <w:pPr>
              <w:keepNext/>
              <w:keepLines/>
              <w:pageBreakBefore w:val="0"/>
              <w:widowControl w:val="1"/>
              <w:spacing w:before="0" w:after="0"/>
              <w:jc w:val="center"/>
            </w:pPr>
            <w:r>
              <w:rPr>
                <w:rFonts w:ascii="Calibri" w:hAnsi="Calibri" w:cs="Calibri" w:eastAsia="Calibri"/>
                <w:b w:val="0"/>
                <w:i w:val="0"/>
                <w:color w:val="8493A8"/>
                <w:sz w:val="14"/>
                <w:u w:val="none"/>
              </w:rPr>
              <w:t>{{suburb.priceHistory}}</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Houses only; medians are 12-month rolling   ·   Source: Valuer-general and rental bond data   ·   Alt text: Median price rose from $1.02m to $1.84m over ten years while median rent rose from $760 to $1,020 per week</w:t>
      </w:r>
    </w:p>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Five-year detail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ve-year detail"/>
        <w:tblDescription w:val="Columns: Period, Median price, Change, Median rent, Yield, Sales"/>
      </w:tblPr>
      <w:tblGrid>
        <w:gridCol w:w="1802"/>
        <w:gridCol w:w="2162"/>
        <w:gridCol w:w="1562"/>
        <w:gridCol w:w="1802"/>
        <w:gridCol w:w="1442"/>
        <w:gridCol w:w="1321"/>
      </w:tblGrid>
      <w:tr>
        <w:trPr>
          <w:cantSplit/>
          <w:trHeight w:val="420" w:hRule="atLeast"/>
          <w:tblHeader/>
        </w:trPr>
        <w:tc>
          <w:tcPr>
            <w:tcW w:type="dxa" w:w="180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Period</w:t>
            </w:r>
          </w:p>
        </w:tc>
        <w:tc>
          <w:tcPr>
            <w:tcW w:type="dxa" w:w="216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 price</w:t>
            </w:r>
          </w:p>
        </w:tc>
        <w:tc>
          <w:tcPr>
            <w:tcW w:type="dxa" w:w="156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Change</w:t>
            </w:r>
          </w:p>
        </w:tc>
        <w:tc>
          <w:tcPr>
            <w:tcW w:type="dxa" w:w="180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 rent</w:t>
            </w:r>
          </w:p>
        </w:tc>
        <w:tc>
          <w:tcPr>
            <w:tcW w:type="dxa" w:w="144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Yield</w:t>
            </w:r>
          </w:p>
        </w:tc>
        <w:tc>
          <w:tcPr>
            <w:tcW w:type="dxa" w:w="132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Sales</w:t>
            </w:r>
          </w:p>
        </w:tc>
      </w:tr>
      <w:tr>
        <w:trPr>
          <w:cantSplit/>
          <w:trHeight w:val="397" w:hRule="atLeast"/>
        </w:trPr>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FY2022</w:t>
            </w:r>
          </w:p>
        </w:tc>
        <w:tc>
          <w:tcPr>
            <w:tcW w:type="dxa" w:w="21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$1,612,000</w:t>
            </w:r>
          </w:p>
        </w:tc>
        <w:tc>
          <w:tcPr>
            <w:tcW w:type="dxa" w:w="15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+12.4%</w:t>
            </w:r>
          </w:p>
        </w:tc>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$880</w:t>
            </w:r>
          </w:p>
        </w:tc>
        <w:tc>
          <w:tcPr>
            <w:tcW w:type="dxa" w:w="14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2.8%</w:t>
            </w:r>
          </w:p>
        </w:tc>
        <w:tc>
          <w:tcPr>
            <w:tcW w:type="dxa" w:w="132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w:t>
            </w:r>
          </w:p>
        </w:tc>
      </w:tr>
      <w:tr>
        <w:trPr>
          <w:cantSplit/>
          <w:trHeight w:val="397" w:hRule="atLeast"/>
        </w:trPr>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FY2023</w:t>
            </w:r>
          </w:p>
        </w:tc>
        <w:tc>
          <w:tcPr>
            <w:tcW w:type="dxa" w:w="21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$1,548,000</w:t>
            </w:r>
          </w:p>
        </w:tc>
        <w:tc>
          <w:tcPr>
            <w:tcW w:type="dxa" w:w="15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−4.0%</w:t>
            </w:r>
          </w:p>
        </w:tc>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$920</w:t>
            </w:r>
          </w:p>
        </w:tc>
        <w:tc>
          <w:tcPr>
            <w:tcW w:type="dxa" w:w="144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3.1%</w:t>
            </w:r>
          </w:p>
        </w:tc>
        <w:tc>
          <w:tcPr>
            <w:tcW w:type="dxa" w:w="132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44</w:t>
            </w:r>
          </w:p>
        </w:tc>
      </w:tr>
      <w:tr>
        <w:trPr>
          <w:cantSplit/>
          <w:trHeight w:val="397" w:hRule="atLeast"/>
        </w:trPr>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FY2024</w:t>
            </w:r>
          </w:p>
        </w:tc>
        <w:tc>
          <w:tcPr>
            <w:tcW w:type="dxa" w:w="21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$1,671,000</w:t>
            </w:r>
          </w:p>
        </w:tc>
        <w:tc>
          <w:tcPr>
            <w:tcW w:type="dxa" w:w="15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+7.9%</w:t>
            </w:r>
          </w:p>
        </w:tc>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$960</w:t>
            </w:r>
          </w:p>
        </w:tc>
        <w:tc>
          <w:tcPr>
            <w:tcW w:type="dxa" w:w="14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3.0%</w:t>
            </w:r>
          </w:p>
        </w:tc>
        <w:tc>
          <w:tcPr>
            <w:tcW w:type="dxa" w:w="132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w:t>
            </w:r>
          </w:p>
        </w:tc>
      </w:tr>
      <w:tr>
        <w:trPr>
          <w:cantSplit/>
          <w:trHeight w:val="397" w:hRule="atLeast"/>
        </w:trPr>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FY2025</w:t>
            </w:r>
          </w:p>
        </w:tc>
        <w:tc>
          <w:tcPr>
            <w:tcW w:type="dxa" w:w="21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$1,758,000</w:t>
            </w:r>
          </w:p>
        </w:tc>
        <w:tc>
          <w:tcPr>
            <w:tcW w:type="dxa" w:w="15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w:t>
            </w:r>
          </w:p>
        </w:tc>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$990</w:t>
            </w:r>
          </w:p>
        </w:tc>
        <w:tc>
          <w:tcPr>
            <w:tcW w:type="dxa" w:w="144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132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w:t>
            </w:r>
          </w:p>
        </w:tc>
      </w:tr>
      <w:tr>
        <w:trPr>
          <w:cantSplit/>
          <w:trHeight w:val="397" w:hRule="atLeast"/>
        </w:trPr>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FY2026</w:t>
            </w:r>
          </w:p>
        </w:tc>
        <w:tc>
          <w:tcPr>
            <w:tcW w:type="dxa" w:w="21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$1,842,000</w:t>
            </w:r>
          </w:p>
        </w:tc>
        <w:tc>
          <w:tcPr>
            <w:tcW w:type="dxa" w:w="15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+4.8%</w:t>
            </w:r>
          </w:p>
        </w:tc>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$1,020</w:t>
            </w:r>
          </w:p>
        </w:tc>
        <w:tc>
          <w:tcPr>
            <w:tcW w:type="dxa" w:w="14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132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Medians on fewer than 40 sales a year move on composition as much as on value; read the trend, not any single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Supply &amp; demand</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is available and who wants it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948"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Listings, days on market and absorption</w:t>
            </w:r>
          </w:p>
          <w:p>
            <w:pPr>
              <w:keepNext w:val="0"/>
              <w:keepLines/>
              <w:pageBreakBefore w:val="0"/>
              <w:widowControl w:val="1"/>
              <w:spacing w:before="0" w:after="60"/>
              <w:jc w:val="center"/>
            </w:pPr>
            <w:r>
              <w:rPr>
                <w:rFonts w:ascii="Calibri" w:hAnsi="Calibri" w:cs="Calibri" w:eastAsia="Calibri"/>
                <w:b/>
                <w:i w:val="0"/>
                <w:caps w:val="1"/>
                <w:color w:val="12B0CE"/>
                <w:spacing w:val="36"/>
                <w:sz w:val="15"/>
                <w:u w:val="none"/>
              </w:rPr>
              <w:t>[  COMBINATION CHART  ]</w:t>
            </w:r>
          </w:p>
          <w:p>
            <w:pPr>
              <w:keepNext/>
              <w:keepLines/>
              <w:pageBreakBefore w:val="0"/>
              <w:widowControl w:val="1"/>
              <w:spacing w:before="0" w:after="0"/>
              <w:jc w:val="center"/>
            </w:pPr>
            <w:r>
              <w:rPr>
                <w:rFonts w:ascii="Calibri" w:hAnsi="Calibri" w:cs="Calibri" w:eastAsia="Calibri"/>
                <w:b w:val="0"/>
                <w:i w:val="0"/>
                <w:color w:val="8493A8"/>
                <w:sz w:val="14"/>
                <w:u w:val="none"/>
              </w:rPr>
              <w:t>{{suburb.supplyDemand}}</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Rolling three-month   ·   Source: Listing data   ·   Alt text: Listing volumes fell 31% over three years while days on market fell from 42 to 26</w:t>
      </w:r>
    </w:p>
    <w:p>
      <w:pPr>
        <w:keepNext w:val="0"/>
        <w:keepLines/>
        <w:pageBreakBefore w:val="0"/>
        <w:widowControl w:val="1"/>
        <w:spacing w:before="0" w:after="0" w:line="108"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Days on market by year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FY2022</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654"/>
              <w:gridCol w:w="997"/>
            </w:tblGrid>
            <w:tr>
              <w:trPr>
                <w:cantSplit/>
              </w:trPr>
              <w:tc>
                <w:tcPr>
                  <w:tcW w:type="dxa" w:w="4654"/>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99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42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FY2023</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51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FY2024</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767"/>
              <w:gridCol w:w="1884"/>
            </w:tblGrid>
            <w:tr>
              <w:trPr>
                <w:cantSplit/>
              </w:trPr>
              <w:tc>
                <w:tcPr>
                  <w:tcW w:type="dxa" w:w="3767"/>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188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34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FY2025</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213"/>
              <w:gridCol w:w="2438"/>
            </w:tblGrid>
            <w:tr>
              <w:trPr>
                <w:cantSplit/>
              </w:trPr>
              <w:tc>
                <w:tcPr>
                  <w:tcW w:type="dxa" w:w="3213"/>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43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29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FY2026</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881"/>
              <w:gridCol w:w="2770"/>
            </w:tblGrid>
            <w:tr>
              <w:trPr>
                <w:cantSplit/>
              </w:trPr>
              <w:tc>
                <w:tcPr>
                  <w:tcW w:type="dxa" w:w="2881"/>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77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26 days</w:t>
            </w:r>
          </w:p>
        </w:tc>
      </w:tr>
    </w:tbl>
    <w:p>
      <w:pPr>
        <w:keepNext w:val="0"/>
        <w:keepLines/>
        <w:pageBreakBefore w:val="0"/>
        <w:widowControl w:val="1"/>
        <w:spacing w:before="80" w:after="0"/>
      </w:pPr>
      <w:r>
        <w:rPr>
          <w:rFonts w:ascii="Calibri" w:hAnsi="Calibri" w:cs="Calibri" w:eastAsia="Calibri"/>
          <w:b w:val="0"/>
          <w:i/>
          <w:color w:val="8493A8"/>
          <w:sz w:val="14"/>
          <w:u w:val="none"/>
        </w:rPr>
        <w:t>Shorter days on market with falling listing volume indicates demand outstripping supply rather than improving marketing.</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Demographics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Who lives here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Demographic profile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emographic profile"/>
        <w:tblDescription w:val="Columns: Measure, Suburb, Greater metro, Read"/>
      </w:tblPr>
      <w:tblGrid>
        <w:gridCol w:w="2948"/>
        <w:gridCol w:w="1701"/>
        <w:gridCol w:w="1928"/>
        <w:gridCol w:w="3515"/>
      </w:tblGrid>
      <w:tr>
        <w:trPr>
          <w:cantSplit/>
          <w:trHeight w:val="420" w:hRule="atLeast"/>
          <w:tblHeader/>
        </w:trPr>
        <w:tc>
          <w:tcPr>
            <w:tcW w:type="dxa" w:w="294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Measure</w:t>
            </w:r>
          </w:p>
        </w:tc>
        <w:tc>
          <w:tcPr>
            <w:tcW w:type="dxa" w:w="170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Suburb</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Greater metro</w:t>
            </w:r>
          </w:p>
        </w:tc>
        <w:tc>
          <w:tcPr>
            <w:tcW w:type="dxa" w:w="351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Read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Population</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5,940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Stable; +1.2% over five years</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age</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42</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37</w:t>
            </w:r>
          </w:p>
        </w:tc>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Established households</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household income</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$3,410/wk</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$2,180/wk</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 income base</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Owner-occupied</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71%</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w:t>
            </w:r>
          </w:p>
        </w:tc>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Shallow rental market</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Rented</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Limited tenant pool</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Family households</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66%</w:t>
            </w:r>
          </w:p>
        </w:tc>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Schools drive demand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Dwellings — separate house</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84%</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56%</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Little unit stock</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Infrastructure &amp; amenity — committed and proposed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2027</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Primary school hall and library</w:t>
            </w:r>
          </w:p>
          <w:p>
            <w:pPr>
              <w:keepNext w:val="0"/>
              <w:keepLines/>
              <w:pageBreakBefore w:val="0"/>
              <w:widowControl w:val="1"/>
              <w:spacing w:before="0" w:after="0" w:line="293" w:lineRule="auto"/>
            </w:pPr>
            <w:r>
              <w:rPr>
                <w:rFonts w:ascii="Calibri" w:hAnsi="Calibri" w:cs="Calibri" w:eastAsia="Calibri"/>
                <w:b w:val="0"/>
                <w:i w:val="0"/>
                <w:color w:val="4C5B73"/>
                <w:sz w:val="17"/>
                <w:u w:val="none"/>
              </w:rPr>
              <w:t>Committed; $14m, funded</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2028</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Arterial road upgrade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Committed; adds a lane each way</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2029</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Retail precinct redevelopment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Proposed; DA not lodged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Location map</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catchment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855"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SUBURB AND CATCHMENT MAP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Alt text: Map showing the suburb boundary, rail, schools and the employment centre</w:t>
      </w:r>
    </w:p>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2018"/>
        <w:gridCol w:w="2018"/>
        <w:gridCol w:w="2018"/>
        <w:gridCol w:w="2018"/>
      </w:tblGrid>
      <w:tr>
        <w:trPr>
          <w:cantSplit/>
        </w:trPr>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C2340"/>
                <w:sz w:val="17"/>
                <w:u w:val="none"/>
              </w:rPr>
              <w:t xml:space="preserve">▬  </w:t>
            </w:r>
            <w:r>
              <w:rPr>
                <w:rFonts w:ascii="Calibri" w:hAnsi="Calibri" w:cs="Calibri" w:eastAsia="Calibri"/>
                <w:b w:val="0"/>
                <w:i w:val="0"/>
                <w:color w:val="4C5B73"/>
                <w:sz w:val="14"/>
                <w:u w:val="none"/>
              </w:rPr>
              <w:t>Suburb boundary</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D6FE0"/>
                <w:sz w:val="17"/>
                <w:u w:val="none"/>
              </w:rPr>
              <w:t xml:space="preserve">▲  </w:t>
            </w:r>
            <w:r>
              <w:rPr>
                <w:rFonts w:ascii="Calibri" w:hAnsi="Calibri" w:cs="Calibri" w:eastAsia="Calibri"/>
                <w:b w:val="0"/>
                <w:i w:val="0"/>
                <w:color w:val="4C5B73"/>
                <w:sz w:val="14"/>
                <w:u w:val="none"/>
              </w:rPr>
              <w:t>Rail</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2B0CE"/>
                <w:sz w:val="17"/>
                <w:u w:val="none"/>
              </w:rPr>
              <w:t xml:space="preserve">■  </w:t>
            </w:r>
            <w:r>
              <w:rPr>
                <w:rFonts w:ascii="Calibri" w:hAnsi="Calibri" w:cs="Calibri" w:eastAsia="Calibri"/>
                <w:b w:val="0"/>
                <w:i w:val="0"/>
                <w:color w:val="4C5B73"/>
                <w:sz w:val="14"/>
                <w:u w:val="none"/>
              </w:rPr>
              <w:t>Schools</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5B96EB"/>
                <w:sz w:val="17"/>
                <w:u w:val="none"/>
              </w:rPr>
              <w:t xml:space="preserve">◆  </w:t>
            </w:r>
            <w:r>
              <w:rPr>
                <w:rFonts w:ascii="Calibri" w:hAnsi="Calibri" w:cs="Calibri" w:eastAsia="Calibri"/>
                <w:b w:val="0"/>
                <w:i w:val="0"/>
                <w:color w:val="4C5B73"/>
                <w:sz w:val="14"/>
                <w:u w:val="none"/>
              </w:rPr>
              <w:t>Retail</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E8AA3"/>
                <w:sz w:val="17"/>
                <w:u w:val="none"/>
              </w:rPr>
              <w:t xml:space="preserve">●  </w:t>
            </w:r>
            <w:r>
              <w:rPr>
                <w:rFonts w:ascii="Calibri" w:hAnsi="Calibri" w:cs="Calibri" w:eastAsia="Calibri"/>
                <w:b w:val="0"/>
                <w:i w:val="0"/>
                <w:color w:val="4C5B73"/>
                <w:sz w:val="14"/>
                <w:u w:val="none"/>
              </w:rPr>
              <w:t>Employment</w:t>
            </w:r>
          </w:p>
        </w:tc>
      </w:tr>
    </w:tbl>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Comparable suburbs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mparable suburbs"/>
        <w:tblDescription w:val="Compares: Northbridge, Willoughby, Naremburn"/>
      </w:tblPr>
      <w:tblGrid>
        <w:gridCol w:w="2624"/>
        <w:gridCol w:w="2489"/>
        <w:gridCol w:w="2489"/>
        <w:gridCol w:w="2489"/>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2B0CE"/>
              <w:right w:val="single" w:sz="16" w:space="0" w:color="FFFFFF"/>
            </w:tcBorders>
            <w:shd w:val="clear" w:color="auto" w:fill="12B0CE"/>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Northbridge</w:t>
            </w:r>
          </w:p>
        </w:tc>
        <w:tc>
          <w:tcPr>
            <w:tcW w:type="dxa" w:w="2489"/>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Willoughby</w:t>
            </w:r>
          </w:p>
        </w:tc>
        <w:tc>
          <w:tcPr>
            <w:tcW w:type="dxa" w:w="2489"/>
            <w:tcBorders>
              <w:top w:val="nil"/>
              <w:left w:val="nil"/>
              <w:bottom w:val="single" w:sz="8" w:space="0" w:color="12B0CE"/>
              <w:right w:val="nil"/>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Naremburn</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Median — house</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$1,842,000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$2,410,000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$2,180,000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10-year growth p.a.</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5.6%</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5.9%</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Gross yield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2.9%</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2.6%</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2.7%</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Vacancy</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1.2%</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Owner-occupied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71%</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64%</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sales</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41</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96</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72</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Outlook &amp; risks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could change the thesis</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8"/>
          <w:sz w:val="15"/>
          <w:u w:val="none"/>
        </w:rPr>
        <w:t>Outlook &amp; 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utlook &amp; risks"/>
        <w:tblDescription w:val="Columns: Risk, Severity, Mitigation"/>
      </w:tblPr>
      <w:tblGrid>
        <w:gridCol w:w="4037"/>
        <w:gridCol w:w="1413"/>
        <w:gridCol w:w="4642"/>
      </w:tblGrid>
      <w:tr>
        <w:trPr>
          <w:cantSplit/>
          <w:tblHeader/>
        </w:trPr>
        <w:tc>
          <w:tcPr>
            <w:tcW w:type="dxa" w:w="4037"/>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Yield compression continues as prices outrun rents</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Already at 2.9%. A growth-weighted strategy tolerates this; a cash-flow strategy does not, and should look elsewhere.</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Turnover under 2% means long search times</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Budget six to twelve months. A retained search materially improves access to pre-market stock in a suburb this tightly held.</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Planning controls are relaxed, adding supply</w:t>
            </w:r>
          </w:p>
        </w:tc>
        <w:tc>
          <w:tcPr>
            <w:tcW w:type="dxa" w:w="1413"/>
            <w:tcBorders>
              <w:top w:val="nil"/>
              <w:left w:val="nil"/>
              <w:bottom w:val="single" w:sz="4" w:space="0" w:color="DCE3ED"/>
              <w:right w:val="nil"/>
            </w:tcBorders>
            <w:shd w:val="clear" w:color="auto" w:fill="E6F6E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550m² minimum lot size has been unchanged for eleven years and the council has no draft amendment on exhibition. Monitor annually.</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Interest rates stay higher for longer</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2.9% yield is highly sensitive to holding cost. Stress-test at +2% before committing.</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Conclusion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Invest, monitor or avoid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CONCLUSION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Invest — but only within a growth-weighted, long-hold strategy that does not require the asset to carry itself.</w:t>
            </w:r>
          </w:p>
          <w:p>
            <w:pPr>
              <w:keepNext w:val="0"/>
              <w:keepLines/>
              <w:pageBreakBefore w:val="0"/>
              <w:widowControl w:val="1"/>
              <w:spacing w:before="0" w:after="0" w:line="317" w:lineRule="auto"/>
            </w:pPr>
            <w:r>
              <w:rPr>
                <w:rFonts w:ascii="Calibri" w:hAnsi="Calibri" w:cs="Calibri" w:eastAsia="Calibri"/>
                <w:b w:val="0"/>
                <w:i w:val="0"/>
                <w:color w:val="10192A"/>
                <w:sz w:val="17"/>
                <w:u w:val="none"/>
              </w:rPr>
              <w:t>The supply constraint that produces the growth record is structural and unlikely to change under the current planning controls. That is a durable advantage. The corresponding yield of 2.9% is equally structural, and no amount of property selection within the suburb will fix it.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Confirm you can fund a 2.9%-yield asset from other income.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Stress-test the holding position at +2% on rates before proceeding.</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Expect a six-to-twelve-month search; consider a retained mandate.</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2B0CE"/>
          <w:spacing w:val="52"/>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Data sources</w:t>
      </w:r>
    </w:p>
    <w:p>
      <w:pPr>
        <w:keepNext w:val="0"/>
        <w:keepLines/>
        <w:pageBreakBefore w:val="0"/>
        <w:widowControl w:val="1"/>
        <w:pBdr>
          <w:bottom w:val="single" w:sz="10" w:space="1" w:color="12B0CE"/>
        </w:pBdr>
        <w:spacing w:before="0" w:after="120" w:line="20" w:lineRule="exact"/>
      </w:pPr>
      <w:r>
        <w:rPr>
          <w:sz w:val="2"/>
        </w:rPr>
      </w:r>
    </w:p>
    <w:p>
      <w:pPr>
        <w:keepNext w:val="0"/>
        <w:keepLines/>
        <w:pageBreakBefore w:val="0"/>
        <w:widowControl w:val="1"/>
        <w:spacing w:before="0" w:after="0" w:line="317" w:lineRule="auto"/>
      </w:pPr>
      <w:r>
        <w:rPr>
          <w:rFonts w:ascii="Calibri" w:hAnsi="Calibri" w:cs="Calibri" w:eastAsia="Calibri"/>
          <w:b w:val="0"/>
          <w:i w:val="0"/>
          <w:color w:val="4C5B73"/>
          <w:sz w:val="19"/>
          <w:u w:val="none"/>
        </w:rPr>
        <w:t>Every figure in this report and where it came from.</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Data, Source, As at"/>
      </w:tblPr>
      <w:tblGrid>
        <w:gridCol w:w="3515"/>
        <w:gridCol w:w="4422"/>
        <w:gridCol w:w="2154"/>
      </w:tblGrid>
      <w:tr>
        <w:trPr>
          <w:cantSplit/>
          <w:trHeight w:val="420" w:hRule="atLeast"/>
          <w:tblHeader/>
        </w:trPr>
        <w:tc>
          <w:tcPr>
            <w:tcW w:type="dxa" w:w="351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Data</w:t>
            </w:r>
          </w:p>
        </w:tc>
        <w:tc>
          <w:tcPr>
            <w:tcW w:type="dxa" w:w="442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15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prices and sales volume</w:t>
            </w:r>
          </w:p>
        </w:tc>
        <w:tc>
          <w:tcPr>
            <w:tcW w:type="dxa" w:w="442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valuer-general</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rents and vacancy</w:t>
            </w:r>
          </w:p>
        </w:tc>
        <w:tc>
          <w:tcPr>
            <w:tcW w:type="dxa" w:w="442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bond authority</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Demographics</w:t>
            </w:r>
          </w:p>
        </w:tc>
        <w:tc>
          <w:tcPr>
            <w:tcW w:type="dxa" w:w="442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National census and estimates</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2021, updated 2025</w:t>
            </w:r>
          </w:p>
        </w:tc>
      </w:tr>
      <w:tr>
        <w:trPr>
          <w:cantSplit/>
          <w:trHeight w:val="397" w:hRule="atLeast"/>
        </w:trPr>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Listings and days on market</w:t>
            </w:r>
          </w:p>
        </w:tc>
        <w:tc>
          <w:tcPr>
            <w:tcW w:type="dxa" w:w="442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Infrastructure</w:t>
            </w:r>
          </w:p>
        </w:tc>
        <w:tc>
          <w:tcPr>
            <w:tcW w:type="dxa" w:w="442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Local council capital works plan</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May 2026</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Suburb Analysis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Suburb Analysis Report</dc:title>
  <dc:subject>Location-level research: demographics, supply, demand, price and rent history, infrastructure and outlook for one suburb.</dc:subject>
  <dc:creator>Aurixa Systems</dc:creator>
  <cp:keywords>Suburb analysis, Location research, Area report,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