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  <w:trHeight w:val="7937" w:hRule="atLeast"/>
        </w:trPr>
        <w:tc>
          <w:tcPr>
            <w:tcW w:type="dxa" w:w="10318"/>
            <w:tcBorders>
              <w:top w:val="single" w:sz="12" w:space="0" w:color="D9A520"/>
              <w:left w:val="single" w:sz="12" w:space="0" w:color="D9A520"/>
              <w:bottom w:val="single" w:sz="12" w:space="0" w:color="D9A520"/>
              <w:right w:val="single" w:sz="12" w:space="0" w:color="D9A520"/>
            </w:tcBorders>
            <w:shd w:val="clear" w:color="auto" w:fill="251F18"/>
            <w:tcMar>
              <w:top w:w="430" w:type="dxa"/>
              <w:left w:w="330" w:type="dxa"/>
              <w:bottom w:w="430" w:type="dxa"/>
              <w:right w:w="33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single" w:sz="8" w:space="0" w:color="D9A520"/>
                    <w:left w:val="single" w:sz="8" w:space="0" w:color="D9A520"/>
                    <w:bottom w:val="single" w:sz="8" w:space="0" w:color="D9A520"/>
                    <w:right w:val="single" w:sz="8" w:space="0" w:color="D9A520"/>
                  </w:tcBorders>
                  <w:shd w:val="clear" w:color="auto" w:fill="251F18"/>
                  <w:tcMar>
                    <w:top w:w="200" w:type="dxa"/>
                    <w:left w:w="120" w:type="dxa"/>
                    <w:bottom w:w="200" w:type="dxa"/>
                    <w:right w:w="120" w:type="dxa"/>
                  </w:tcMar>
                </w:tcPr>
                <w:p>
                  <w:pPr>
                    <w:keepNext w:val="0"/>
                    <w:keepLines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D9A520"/>
                      <w:spacing w:val="28"/>
                      <w:sz w:val="14"/>
                      <w:u w:val="none"/>
                    </w:rPr>
                    <w:t>[  INSERT PARTNER LOGO  ]</w:t>
                  </w:r>
                </w:p>
              </w:tc>
            </w:tr>
          </w:tbl>
          <w:p/>
          <w:p>
            <w:pPr>
              <w:keepNext w:val="0"/>
              <w:keepLines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spacing w:before="4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D9A520"/>
                <w:spacing w:val="64"/>
                <w:sz w:val="16"/>
                <w:u w:val="none"/>
              </w:rPr>
              <w:t>Issued by the buyer's agency to the finance partner</w:t>
            </w:r>
          </w:p>
          <w:p>
            <w:pPr>
              <w:keepNext w:val="0"/>
              <w:keepLines/>
              <w:spacing w:before="0" w:after="1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52"/>
                <w:sz w:val="19"/>
                <w:u w:val="none"/>
              </w:rPr>
              <w:t>&lt;&lt;COMPANY NAME&gt;&gt;</w:t>
            </w:r>
          </w:p>
          <w:p>
            <w:pPr>
              <w:keepNext/>
              <w:keepLines/>
              <w:spacing w:before="0" w:after="0" w:line="226" w:lineRule="auto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pacing w:val="8"/>
                <w:sz w:val="54"/>
                <w:u w:val="none"/>
              </w:rPr>
              <w:t>Strategic Property</w:t>
            </w:r>
          </w:p>
          <w:p>
            <w:pPr>
              <w:keepNext/>
              <w:keepLines/>
              <w:spacing w:before="0" w:after="160" w:line="226" w:lineRule="auto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pacing w:val="8"/>
                <w:sz w:val="54"/>
                <w:u w:val="none"/>
              </w:rPr>
              <w:t>Referral Agreement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8"/>
            </w:tblGrid>
            <w:tr>
              <w:trPr>
                <w:cantSplit/>
              </w:trPr>
              <w:tc>
                <w:tcPr>
                  <w:tcW w:type="dxa" w:w="1928"/>
                  <w:shd w:val="clear" w:color="auto" w:fill="D9A52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spacing w:before="0" w:after="0" w:line="4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spacing w:before="0" w:after="240" w:line="324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D8CEBE"/>
                <w:sz w:val="21"/>
                <w:u w:val="none"/>
              </w:rPr>
              <w:t>A structured, editable agreement template for establishing a professional referral relationship while preserving clear service boundaries, client choice and transparent commercial terms.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86"/>
              <w:gridCol w:w="2986"/>
              <w:gridCol w:w="2986"/>
            </w:tblGrid>
            <w:tr>
              <w:trPr>
                <w:cantSplit/>
              </w:trPr>
              <w:tc>
                <w:tcPr>
                  <w:tcW w:type="dxa" w:w="2986"/>
                  <w:tcBorders>
                    <w:top w:val="single" w:sz="4" w:space="0" w:color="A98019"/>
                    <w:left w:val="single" w:sz="4" w:space="0" w:color="A98019"/>
                    <w:bottom w:val="single" w:sz="4" w:space="0" w:color="A98019"/>
                    <w:right w:val="single" w:sz="4" w:space="0" w:color="A98019"/>
                  </w:tcBorders>
                  <w:shd w:val="clear" w:color="auto" w:fill="3A322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>
                  <w:pPr>
                    <w:keepNext w:val="0"/>
                    <w:keepLines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D9A520"/>
                      <w:spacing w:val="28"/>
                      <w:sz w:val="14"/>
                      <w:u w:val="none"/>
                    </w:rPr>
                    <w:t>EDITABLE</w:t>
                  </w:r>
                </w:p>
              </w:tc>
              <w:tc>
                <w:tcPr>
                  <w:tcW w:type="dxa" w:w="2986"/>
                  <w:tcBorders>
                    <w:top w:val="single" w:sz="4" w:space="0" w:color="A98019"/>
                    <w:left w:val="single" w:sz="4" w:space="0" w:color="A98019"/>
                    <w:bottom w:val="single" w:sz="4" w:space="0" w:color="A98019"/>
                    <w:right w:val="single" w:sz="4" w:space="0" w:color="A98019"/>
                  </w:tcBorders>
                  <w:shd w:val="clear" w:color="auto" w:fill="3A322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>
                  <w:pPr>
                    <w:keepNext w:val="0"/>
                    <w:keepLines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D9A520"/>
                      <w:spacing w:val="28"/>
                      <w:sz w:val="14"/>
                      <w:u w:val="none"/>
                    </w:rPr>
                    <w:t>ACTIVATION-READY</w:t>
                  </w:r>
                </w:p>
              </w:tc>
              <w:tc>
                <w:tcPr>
                  <w:tcW w:type="dxa" w:w="2986"/>
                  <w:tcBorders>
                    <w:top w:val="single" w:sz="4" w:space="0" w:color="A98019"/>
                    <w:left w:val="single" w:sz="4" w:space="0" w:color="A98019"/>
                    <w:bottom w:val="single" w:sz="4" w:space="0" w:color="A98019"/>
                    <w:right w:val="single" w:sz="4" w:space="0" w:color="A98019"/>
                  </w:tcBorders>
                  <w:shd w:val="clear" w:color="auto" w:fill="3A322A"/>
                  <w:tcMar>
                    <w:top w:w="90" w:type="dxa"/>
                    <w:left w:w="60" w:type="dxa"/>
                    <w:bottom w:w="90" w:type="dxa"/>
                    <w:right w:w="60" w:type="dxa"/>
                  </w:tcMar>
                </w:tcPr>
                <w:p>
                  <w:pPr>
                    <w:keepNext w:val="0"/>
                    <w:keepLines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D9A520"/>
                      <w:spacing w:val="28"/>
                      <w:sz w:val="14"/>
                      <w:u w:val="none"/>
                    </w:rPr>
                    <w:t>BRAND-READY</w:t>
                  </w:r>
                </w:p>
              </w:tc>
            </w:tr>
          </w:tbl>
          <w:p/>
          <w:p>
            <w:pPr>
              <w:keepNext w:val="0"/>
              <w:keepLines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B9AC97"/>
                <w:spacing w:val="32"/>
                <w:sz w:val="16"/>
                <w:u w:val="none"/>
              </w:rPr>
              <w:t>VERSION 3.0   |   EFFECTIVE DATE: &lt;&lt;DATE&gt;&gt;   |   COMMERCIAL IN CONFIDENCE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E8C4B4"/>
              <w:left w:val="single" w:sz="4" w:space="0" w:color="E8C4B4"/>
              <w:bottom w:val="single" w:sz="4" w:space="0" w:color="E8C4B4"/>
              <w:right w:val="single" w:sz="4" w:space="0" w:color="E8C4B4"/>
            </w:tcBorders>
            <w:shd w:val="clear" w:color="auto" w:fill="FEF0F0"/>
            <w:tcMar>
              <w:top w:w="110" w:type="dxa"/>
              <w:left w:w="200" w:type="dxa"/>
              <w:bottom w:w="110" w:type="dxa"/>
              <w:right w:w="200" w:type="dxa"/>
            </w:tcMar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C2410C"/>
                <w:spacing w:val="24"/>
                <w:sz w:val="14"/>
                <w:u w:val="none"/>
              </w:rPr>
              <w:t xml:space="preserve">IMPORTANT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Template only — obtain legal, licensing, privacy and aggregator approval before use.</w:t>
            </w:r>
          </w:p>
        </w:tc>
      </w:tr>
    </w:tbl>
    <w:p>
      <w:pPr>
        <w:keepNext w:val="0"/>
        <w:keepLines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Prepared for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&lt;&lt;RECIPIENT ORGANISATION&gt;&gt;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Prepared by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&lt;&lt;SENDER NAME&gt;&gt;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Document reference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SPRA-&lt;&lt;REF&gt;&gt;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Date issued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&lt;&lt;DATE&gt;&gt;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251F18"/>
              <w:left w:val="single" w:sz="4" w:space="0" w:color="251F18"/>
              <w:bottom w:val="single" w:sz="4" w:space="0" w:color="251F18"/>
              <w:right w:val="single" w:sz="4" w:space="0" w:color="251F18"/>
            </w:tcBorders>
            <w:shd w:val="clear" w:color="auto" w:fill="251F18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 w:val="0"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D9A520"/>
                <w:spacing w:val="28"/>
                <w:sz w:val="17"/>
                <w:u w:val="none"/>
              </w:rPr>
              <w:t>&lt;&lt;COMPANY NAME&gt;&gt;</w:t>
            </w:r>
          </w:p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C4B8A6"/>
                <w:sz w:val="14"/>
                <w:u w:val="none"/>
              </w:rPr>
              <w:t>&lt;&lt;PHONE&gt;&gt;   ·   &lt;&lt;EMAIL&gt;&gt;   ·   &lt;&lt;WEBSITE&gt;&gt;   ·   &lt;&lt;BUSINESS ADDRESS&gt;&gt;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0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DOCUMENT MAP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What is inside this pack   ›   Read before completing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4"/>
        <w:gridCol w:w="3061"/>
        <w:gridCol w:w="6463"/>
      </w:tblGrid>
      <w:tr>
        <w:trPr>
          <w:cantSplit/>
          <w:trHeight w:val="454" w:hRule="atLeast"/>
          <w:tblHeader/>
        </w:trPr>
        <w:tc>
          <w:tcPr>
            <w:tcW w:type="dxa" w:w="794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#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Section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What it covers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Partner email template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Editable introductory correspondence to accompany the pack.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W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Brand &amp; customisation panel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Every white-label field in one place.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1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Agreement details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Entity, licensing and notice information for both parties.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2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Purpose &amp; scope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Responsibility split between the two businesses.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2A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Purpose &amp; services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Operative clauses 1–2: establishment and client engagement.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3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Referral workflow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The seven controlled handover stages.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4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Commercial schedule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Negotiated fee model, qualifying event and payment terms.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5–7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Consent, privacy &amp; communications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Client choice and controlled information exchange.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8–10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Protections &amp; risk allocation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Non-circumvention, confidentiality, liability.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11–13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Term, termination &amp; general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Lifecycle, disputes and governing law.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14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Execution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Signature blocks for electronic or wet execution.</w:t>
            </w:r>
          </w:p>
        </w:tc>
      </w:tr>
      <w:tr>
        <w:trPr>
          <w:cantSplit/>
          <w:trHeight w:val="465" w:hRule="atLeast"/>
        </w:trPr>
        <w:tc>
          <w:tcPr>
            <w:tcW w:type="dxa" w:w="794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Referral registration form</w:t>
            </w:r>
          </w:p>
        </w:tc>
        <w:tc>
          <w:tcPr>
            <w:tcW w:type="dxa" w:w="6463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Per-referral record and status tracker.</w:t>
            </w:r>
          </w:p>
        </w:tc>
      </w:tr>
    </w:tbl>
    <w:p>
      <w:pPr>
        <w:keepNext w:val="0"/>
        <w:keepLines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W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BRAND &amp; CUSTOMISATION PANEL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White-label control sheet   ›   Complete once per organisation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F8EED3"/>
              <w:left w:val="single" w:sz="24" w:space="0" w:color="D9A520"/>
              <w:bottom w:val="single" w:sz="4" w:space="0" w:color="F8EED3"/>
              <w:right w:val="single" w:sz="4" w:space="0" w:color="F8EED3"/>
            </w:tcBorders>
            <w:shd w:val="clear" w:color="auto" w:fill="FCF5E3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8"/>
                <w:sz w:val="15"/>
                <w:u w:val="none"/>
              </w:rPr>
              <w:t>HOW TO WHITE-LABEL THIS DOCUMENT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C2410C"/>
                <w:spacing w:val="24"/>
                <w:sz w:val="14"/>
                <w:u w:val="none"/>
              </w:rPr>
              <w:t xml:space="preserve">   ·   DELETE BEFORE ISSUE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Every item below appears in at least one place in this template. Replace the value once here, then use Word's Find &amp; Replace (Ctrl+H / Cmd+H) on the merge token to update every occurrence in a single pass. Colour changes are applied from the Aurixa Finance Portal branding settings, or manually via the shading controls on each band. Delete this page before issuing the document.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5102"/>
      </w:tblGrid>
      <w:tr>
        <w:trPr>
          <w:cantSplit/>
          <w:trHeight w:val="454" w:hRule="atLeast"/>
          <w:tblHeader/>
        </w:trPr>
        <w:tc>
          <w:tcPr>
            <w:tcW w:type="dxa" w:w="2268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Customisable area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Merge token / location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8" w:space="0" w:color="D9A520"/>
              <w:right w:val="nil"/>
            </w:tcBorders>
            <w:shd w:val="clear" w:color="auto" w:fill="251F1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Notes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Partner logo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Cover panel + page header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Replace the dashed placeholder with the partner mark. Keep it inside the box so the cover grid stays aligned.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Organisation name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&lt;&lt;COMPANY NAME&gt;&gt;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Legal or trading name shown on the cover, the running header and the sign-off block.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Trading name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&lt;&lt;TRADING NAME&gt;&gt;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Optional. Use where the trading name differs from the legal entity.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Contact details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&lt;&lt;PHONE&gt;&gt; · &lt;&lt;EMAIL&gt;&gt; · &lt;&lt;WEBSITE&gt;&gt;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Appears in the partner email template and the document footer.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Business address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&lt;&lt;BUSINESS ADDRESS&gt;&gt;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Registered or service address used for notices under the agreement.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Brand colours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Primary + accent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Swap the obsidian/gold pairing for the partner palette. Section bands, chips and rules all follow it.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Effective date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&lt;&lt;DATE&gt;&gt;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Cover metadata strip and clause 1. Keep both in sync.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Version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3.0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Cover metadata strip and page footer. Increment on every approved amendment.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Disclaimer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&lt;&lt;DISCLAIMER&gt;&gt;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FFDF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Footer legal line. Replace with the partner's own licensing or credit-guide wording, or delete it.</w:t>
            </w:r>
          </w:p>
        </w:tc>
      </w:tr>
      <w:tr>
        <w:trPr>
          <w:cantSplit/>
          <w:trHeight w:val="465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Governing jurisdiction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&lt;&lt;STATE OR TERRITORY&gt;&gt;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AF7EF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Agreement details grid and the governing-law clause.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C9B8EA"/>
              <w:left w:val="single" w:sz="18" w:space="0" w:color="6128C3"/>
              <w:bottom w:val="single" w:sz="4" w:space="0" w:color="C9B8EA"/>
              <w:right w:val="single" w:sz="4" w:space="0" w:color="C9B8EA"/>
            </w:tcBorders>
            <w:shd w:val="clear" w:color="auto" w:fill="E5DEF2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128C3"/>
                <w:spacing w:val="28"/>
                <w:sz w:val="15"/>
                <w:u w:val="none"/>
              </w:rPr>
              <w:t>COLOUR SYSTEM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Primary (obsidian) drives section bands, clause rules and table headers. Accent (gold) drives numbers, chips, rules and field underlines. Semantic colours — green for confirmations, amber for caution, red for legal warnings — are fixed by design and should not be re-skinned, so a partner's palette never changes the meaning of a warning.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E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PARTNER EMAIL TEMPLATE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Editable introductory correspondence   ›   Customise, approve and issue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F8EED3"/>
              <w:left w:val="single" w:sz="24" w:space="0" w:color="D9A520"/>
              <w:bottom w:val="single" w:sz="4" w:space="0" w:color="F8EED3"/>
              <w:right w:val="single" w:sz="4" w:space="0" w:color="F8EED3"/>
            </w:tcBorders>
            <w:shd w:val="clear" w:color="auto" w:fill="FCF5E3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8"/>
                <w:sz w:val="15"/>
                <w:u w:val="none"/>
              </w:rPr>
              <w:t>HOW TO USE THIS PAGE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C2410C"/>
                <w:spacing w:val="24"/>
                <w:sz w:val="14"/>
                <w:u w:val="none"/>
              </w:rPr>
              <w:t xml:space="preserve">   ·   DELETE BEFORE ISSUE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Replace all bracketed fields, attach the agreement and commercial schedule, obtain internal approval, and delete this guidance card before issue.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500"/>
        <w:gridCol w:w="3818"/>
      </w:tblGrid>
      <w:tr>
        <w:trPr>
          <w:cantSplit/>
        </w:trPr>
        <w:tc>
          <w:tcPr>
            <w:tcW w:type="dxa" w:w="6500"/>
            <w:tcBorders>
              <w:top w:val="single" w:sz="4" w:space="0" w:color="DDD1C0"/>
              <w:left w:val="single" w:sz="18" w:space="0" w:color="D9A520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keepNext w:val="0"/>
              <w:keepLines/>
              <w:spacing w:before="0" w:after="1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6"/>
                <w:sz w:val="14"/>
                <w:u w:val="none"/>
              </w:rPr>
              <w:t xml:space="preserve">SUBJECT   </w:t>
            </w:r>
            <w:r>
              <w:rPr>
                <w:rFonts w:ascii="Calibri" w:hAnsi="Calibri" w:cs="Calibri" w:eastAsia="Calibri"/>
                <w:b/>
                <w:i w:val="0"/>
                <w:color w:val="312A21"/>
                <w:sz w:val="17"/>
                <w:u w:val="none"/>
              </w:rPr>
              <w:t>Strategic Referral Partnership — &lt;&lt;BUYER’S AGENCY NAME&gt;&gt; and &lt;&lt;FINANCE PARTNER NAME&gt;&gt;</w:t>
            </w:r>
          </w:p>
          <w:p>
            <w:pPr>
              <w:keepNext w:val="0"/>
              <w:keepLines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Hi &lt;&lt;FIRST NAME&gt;&gt;,</w:t>
            </w:r>
          </w:p>
          <w:p>
            <w:pPr>
              <w:keepNext w:val="0"/>
              <w:keepLines/>
              <w:spacing w:before="12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Thank you for discussing a potential referral partnership between &lt;&lt;BUYER’S AGENCY NAME&gt;&gt; and &lt;&lt;FINANCE PARTNER NAME&gt;&gt;.</w:t>
            </w:r>
          </w:p>
          <w:p>
            <w:pPr>
              <w:keepNext w:val="0"/>
              <w:keepLines/>
              <w:spacing w:before="12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Attached is our editable Strategic Property Referral Agreement. It is designed for circumstances where your finance team identifies a client who may benefit from independent property strategy, buyer advocacy, property selection, due diligence or acquisition support.</w:t>
            </w:r>
          </w:p>
          <w:p>
            <w:pPr>
              <w:keepNext w:val="0"/>
              <w:keepLines/>
              <w:spacing w:before="12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The commercial schedule has deliberately been left open so the parties can negotiate the referral model, qualifying event, payment timeframe, GST treatment and exclusions before execution.</w:t>
            </w:r>
          </w:p>
          <w:p>
            <w:pPr>
              <w:keepNext w:val="0"/>
              <w:keepLines/>
              <w:spacing w:before="12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Please have the agreement reviewed by your legal, compliance, ACL-holder and aggregator teams where applicable. Once the commercial schedule is agreed, we can finalise the document for electronic execution and activate the referral workflow.</w:t>
            </w:r>
          </w:p>
          <w:p>
            <w:pPr>
              <w:keepNext w:val="0"/>
              <w:keepLines/>
              <w:spacing w:before="12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Kind regards,</w:t>
            </w:r>
          </w:p>
          <w:p>
            <w:pPr>
              <w:keepNext w:val="0"/>
              <w:keepLines/>
              <w:spacing w:before="160" w:after="0"/>
            </w:pPr>
            <w:r>
              <w:rPr>
                <w:rFonts w:ascii="Calibri" w:hAnsi="Calibri" w:cs="Calibri" w:eastAsia="Calibri"/>
                <w:b/>
                <w:i w:val="0"/>
                <w:color w:val="312A21"/>
                <w:sz w:val="17"/>
                <w:u w:val="none"/>
              </w:rPr>
              <w:t>&lt;&lt;SENDER NAME&gt;&gt;</w:t>
            </w:r>
          </w:p>
          <w:p>
            <w:pPr>
              <w:keepNext w:val="0"/>
              <w:keepLines/>
              <w:spacing w:before="20" w:after="0"/>
            </w:pPr>
            <w:r>
              <w:rPr>
                <w:rFonts w:ascii="Calibri" w:hAnsi="Calibri" w:cs="Calibri" w:eastAsia="Calibri"/>
                <w:b w:val="0"/>
                <w:i w:val="0"/>
                <w:color w:val="6E6253"/>
                <w:sz w:val="17"/>
                <w:u w:val="none"/>
              </w:rPr>
              <w:t>&lt;&lt;TITLE&gt;&gt;</w:t>
            </w:r>
          </w:p>
          <w:p>
            <w:pPr>
              <w:keepNext w:val="0"/>
              <w:keepLines/>
              <w:spacing w:before="20" w:after="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>&lt;&lt;COMPANY NAME&gt;&gt;</w:t>
            </w:r>
          </w:p>
          <w:p>
            <w:pPr>
              <w:keepNext w:val="0"/>
              <w:keepLines/>
              <w:spacing w:before="60" w:after="0"/>
            </w:pPr>
            <w:r>
              <w:rPr>
                <w:rFonts w:ascii="Calibri" w:hAnsi="Calibri" w:cs="Calibri" w:eastAsia="Calibri"/>
                <w:b w:val="0"/>
                <w:i w:val="0"/>
                <w:color w:val="6E6253"/>
                <w:sz w:val="14"/>
                <w:u w:val="none"/>
              </w:rPr>
              <w:t>&lt;&lt;PHONE&gt;&gt;   |   &lt;&lt;EMAIL&gt;&gt;   |   &lt;&lt;WEBSITE&gt;&gt;</w:t>
            </w:r>
          </w:p>
        </w:tc>
        <w:tc>
          <w:tcPr>
            <w:tcW w:type="dxa" w:w="3818"/>
            <w:tcBorders>
              <w:top w:val="single" w:sz="4" w:space="0" w:color="251F18"/>
              <w:left w:val="single" w:sz="4" w:space="0" w:color="251F18"/>
              <w:bottom w:val="single" w:sz="4" w:space="0" w:color="251F18"/>
              <w:right w:val="single" w:sz="4" w:space="0" w:color="251F18"/>
            </w:tcBorders>
            <w:shd w:val="clear" w:color="auto" w:fill="251F18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keepNext w:val="0"/>
              <w:keepLines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D9A520"/>
                <w:spacing w:val="26"/>
                <w:sz w:val="15"/>
                <w:u w:val="none"/>
              </w:rPr>
              <w:t>ACTIVATION CHECKLIST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Replace every merge token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Agree the commercial schedule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Obtain legal &amp; compliance sign-off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Confirm aggregator / ACL position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Issue for electronic execution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 w:val="0"/>
                <w:i w:val="0"/>
                <w:color w:val="D9A520"/>
                <w:sz w:val="17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Activate the referral workflow</w:t>
            </w:r>
          </w:p>
          <w:p>
            <w:pPr>
              <w:keepNext w:val="0"/>
              <w:keepLines/>
              <w:spacing w:before="24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D9A520"/>
                <w:spacing w:val="26"/>
                <w:sz w:val="15"/>
                <w:u w:val="none"/>
              </w:rPr>
              <w:t>ATTACHMENTS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/>
                <w:i w:val="0"/>
                <w:color w:val="D9A520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Strategic Property Referral Agreement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/>
                <w:i w:val="0"/>
                <w:color w:val="D9A520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Commercial Schedule</w:t>
            </w:r>
          </w:p>
          <w:p>
            <w:pPr>
              <w:keepNext w:val="0"/>
              <w:keepLines/>
              <w:spacing w:before="0" w:after="80" w:line="288" w:lineRule="auto"/>
              <w:ind w:left="220" w:hanging="220"/>
            </w:pPr>
            <w:r>
              <w:rPr>
                <w:rFonts w:ascii="Calibri" w:hAnsi="Calibri" w:cs="Calibri" w:eastAsia="Calibri"/>
                <w:b/>
                <w:i w:val="0"/>
                <w:color w:val="D9A520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E4DBCC"/>
                <w:sz w:val="17"/>
                <w:u w:val="none"/>
              </w:rPr>
              <w:t>Referral Registration Form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1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AGREEMENT DETAILS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Complete before issue   ›   Core entity and authority information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F8EED3"/>
              <w:left w:val="single" w:sz="24" w:space="0" w:color="D9A520"/>
              <w:bottom w:val="single" w:sz="4" w:space="0" w:color="F8EED3"/>
              <w:right w:val="single" w:sz="4" w:space="0" w:color="F8EED3"/>
            </w:tcBorders>
            <w:shd w:val="clear" w:color="auto" w:fill="FCF5E3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8"/>
                <w:sz w:val="15"/>
                <w:u w:val="none"/>
              </w:rPr>
              <w:t>COMPLETION STANDARD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Use the exact legal entity names, registration details, licence information and service addresses that will appear in the executed agreement.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Agreement date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&lt;&lt;DATE&gt;&gt;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Governing state / territory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</w:tbl>
    <w:p>
      <w:pPr>
        <w:keepNext w:val="0"/>
        <w:keepLines/>
        <w:spacing w:before="0" w:after="0" w:line="80" w:lineRule="exact"/>
      </w:pPr>
      <w:r>
        <w:rPr>
          <w:sz w:val="2"/>
        </w:rPr>
      </w:r>
    </w:p>
    <w:p>
      <w:pPr>
        <w:keepNext/>
        <w:keepLines/>
        <w:spacing w:before="40" w:after="80"/>
      </w:pPr>
      <w:r>
        <w:rPr>
          <w:rFonts w:ascii="Calibri" w:hAnsi="Calibri" w:cs="Calibri" w:eastAsia="Calibri"/>
          <w:b/>
          <w:i w:val="0"/>
          <w:caps w:val="1"/>
          <w:color w:val="7C5E13"/>
          <w:spacing w:val="28"/>
          <w:sz w:val="15"/>
          <w:u w:val="none"/>
        </w:rPr>
        <w:t>BUYER'S AGENCY  —  RECIPIENT OF REFERRALS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Legal name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Trading name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ABN / ACN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Real estate licence details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IF APPLICABLE&gt;&gt;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Registered address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Primary email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p>
      <w:pPr>
        <w:keepNext/>
        <w:keepLines/>
        <w:spacing w:before="40" w:after="80"/>
      </w:pPr>
      <w:r>
        <w:rPr>
          <w:rFonts w:ascii="Calibri" w:hAnsi="Calibri" w:cs="Calibri" w:eastAsia="Calibri"/>
          <w:b/>
          <w:i w:val="0"/>
          <w:caps w:val="1"/>
          <w:color w:val="7C5E13"/>
          <w:spacing w:val="28"/>
          <w:sz w:val="15"/>
          <w:u w:val="none"/>
        </w:rPr>
        <w:t>FINANCE PARTNER  —  REFERRING PARTY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Legal name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Trading name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ABN / ACN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ACL / credit representative number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Registered address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Primary email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C9B8EA"/>
              <w:left w:val="single" w:sz="18" w:space="0" w:color="6128C3"/>
              <w:bottom w:val="single" w:sz="4" w:space="0" w:color="C9B8EA"/>
              <w:right w:val="single" w:sz="4" w:space="0" w:color="C9B8EA"/>
            </w:tcBorders>
            <w:shd w:val="clear" w:color="auto" w:fill="E5DEF2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128C3"/>
                <w:spacing w:val="28"/>
                <w:sz w:val="15"/>
                <w:u w:val="none"/>
              </w:rPr>
              <w:t>PARTIES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The buyer's agency is the recipient of property-service referrals. The finance partner is the referring party. Each remains independent and responsible for its own services, staff, licensing, advice and client documentation.</w:t>
            </w:r>
          </w:p>
        </w:tc>
      </w:tr>
    </w:tbl>
    <w:p>
      <w:pPr>
        <w:keepNext w:val="0"/>
        <w:keepLines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2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PURPOSE &amp; SCOPE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Clear service boundaries   ›   Independent, coordinated services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Borders>
              <w:top w:val="nil"/>
              <w:left w:val="nil"/>
              <w:bottom w:val="nil"/>
              <w:right w:val="single" w:sz="30" w:space="0" w:color="FFFFFF"/>
            </w:tcBorders>
            <w:shd w:val="clear" w:color="auto" w:fill="6128C3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6"/>
                <w:sz w:val="16"/>
                <w:u w:val="none"/>
              </w:rPr>
              <w:t>Buyer's agency responsibilities</w:t>
            </w:r>
          </w:p>
        </w:tc>
        <w:tc>
          <w:tcPr>
            <w:tcW w:type="dxa" w:w="5159"/>
            <w:tcBorders>
              <w:top w:val="nil"/>
              <w:left w:val="nil"/>
              <w:bottom w:val="nil"/>
              <w:right w:val="nil"/>
            </w:tcBorders>
            <w:shd w:val="clear" w:color="auto" w:fill="7C5E13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keepNext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6"/>
                <w:sz w:val="16"/>
                <w:u w:val="none"/>
              </w:rPr>
              <w:t>Finance partner responsibilities</w:t>
            </w:r>
          </w:p>
        </w:tc>
      </w:tr>
      <w:tr>
        <w:trPr>
          <w:cantSplit/>
        </w:trPr>
        <w:tc>
          <w:tcPr>
            <w:tcW w:type="dxa" w:w="5159"/>
            <w:tcBorders>
              <w:top w:val="nil"/>
              <w:left w:val="nil"/>
              <w:bottom w:val="single" w:sz="4" w:space="0" w:color="DDD1C0"/>
              <w:right w:val="single" w:sz="30" w:space="0" w:color="FFFFFF"/>
            </w:tcBorders>
            <w:shd w:val="clear" w:color="auto" w:fill="E5DEF2"/>
            <w:tcMar>
              <w:top w:w="140" w:type="dxa"/>
              <w:left w:w="170" w:type="dxa"/>
              <w:bottom w:w="140" w:type="dxa"/>
              <w:right w:w="170" w:type="dxa"/>
            </w:tcMar>
          </w:tcPr>
          <w:p>
            <w:pPr>
              <w:keepNext w:val="0"/>
              <w:keepLines/>
              <w:spacing w:before="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6128C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Provide property strategy, research, property identification and buyer advocacy services under a separate client engagement.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6128C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Undertake appropriate property due diligence, negotiation and acquisition coordination within its licensed scope.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6128C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Explain its own fees, service limitations and conflicts directly to the client.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6128C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Provide only agreed high-level milestone updates to the finance partner, subject to client consent.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6128C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Not provide credit assistance, lender recommendations or financial product advice unless separately licensed and authorised.</w:t>
            </w:r>
          </w:p>
        </w:tc>
        <w:tc>
          <w:tcPr>
            <w:tcW w:type="dxa" w:w="5159"/>
            <w:tcBorders>
              <w:top w:val="nil"/>
              <w:left w:val="nil"/>
              <w:bottom w:val="single" w:sz="4" w:space="0" w:color="DDD1C0"/>
              <w:right w:val="nil"/>
            </w:tcBorders>
            <w:shd w:val="clear" w:color="auto" w:fill="F8EED3"/>
            <w:tcMar>
              <w:top w:w="140" w:type="dxa"/>
              <w:left w:w="170" w:type="dxa"/>
              <w:bottom w:w="140" w:type="dxa"/>
              <w:right w:w="170" w:type="dxa"/>
            </w:tcMar>
          </w:tcPr>
          <w:p>
            <w:pPr>
              <w:keepNext w:val="0"/>
              <w:keepLines/>
              <w:spacing w:before="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Identify clients who may require property acquisition or buyer advocacy support.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Obtain client consent before sharing personal information or making the introduction.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Continue to manage all borrowing-capacity, credit, loan application and lender communications.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Maintain all required ACL, credit representative, aggregator and lender authorisations.</w:t>
            </w:r>
          </w:p>
          <w:p>
            <w:pPr>
              <w:keepNext w:val="0"/>
              <w:keepLines/>
              <w:spacing w:before="60" w:after="0" w:line="300" w:lineRule="auto"/>
              <w:ind w:left="180" w:hanging="18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Avoid representing that the buyer's agency guarantees a property outcome, valuation, loan approval or investment return.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E8C4B4"/>
              <w:left w:val="single" w:sz="18" w:space="0" w:color="C2410C"/>
              <w:bottom w:val="single" w:sz="4" w:space="0" w:color="E8C4B4"/>
              <w:right w:val="single" w:sz="4" w:space="0" w:color="E8C4B4"/>
            </w:tcBorders>
            <w:shd w:val="clear" w:color="auto" w:fill="FEF0F0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C2410C"/>
                <w:spacing w:val="28"/>
                <w:sz w:val="15"/>
                <w:u w:val="none"/>
              </w:rPr>
              <w:t>BOUNDARY PRINCIPLE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The referral relationship coordinates handover and milestone visibility. It does not merge professional responsibilities, advice scopes or client contracts.</w:t>
            </w:r>
          </w:p>
        </w:tc>
      </w:tr>
    </w:tbl>
    <w:p>
      <w:pPr>
        <w:keepNext w:val="0"/>
        <w:keepLines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2A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PURPOSE &amp; SERVICES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Operative clauses   ›   Establishment and client engagement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1.  Purpose of Agreement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This Agreement establishes a structured referral relationship under which the Finance Partner may introduce clients to the Buyer's Agency for property consulting and buyer advocacy services.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objective is to support a coordinated client journey while preserving the client's freedom of choice and the independent professional responsibilities of each party.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Nothing in this Agreement creates a partnership, joint venture, agency, employment, fiduciary relationship or authority for either party to bind the other.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2.  Services and Client Engagement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2.1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Buyer's Agency may offer property strategy, search, appraisal, due diligence, negotiation and acquisition coordination services, subject to its own client agreement.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2.2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Finance Partner remains solely responsible for credit services, lending advice, credit assistance, loan structuring, application management and lender liaison.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2.3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may accept or decline a referral or client engagement in its discretion and must promptly communicate any material inability to proceed.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B7E8CB"/>
              <w:left w:val="single" w:sz="18" w:space="0" w:color="15803D"/>
              <w:bottom w:val="single" w:sz="4" w:space="0" w:color="B7E8CB"/>
              <w:right w:val="single" w:sz="4" w:space="0" w:color="B7E8CB"/>
            </w:tcBorders>
            <w:shd w:val="clear" w:color="auto" w:fill="E9FBF0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803D"/>
                <w:spacing w:val="28"/>
                <w:sz w:val="15"/>
                <w:u w:val="none"/>
              </w:rPr>
              <w:t>OPERATIONAL OUTCOME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Each referral moves into a separate property-services engagement only after the buyer's agency explains its services and the client chooses to proceed.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3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REFERRAL WORKFLOW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Finance partner to buyer's agency   ›   Seven controlled handover stages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2154"/>
        <w:gridCol w:w="7427"/>
      </w:tblGrid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1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Identify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Finance partner identifies a client who may require property services.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2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Consent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Client provides consent to the introduction and any permitted information sharing.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3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Submit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Referral is lodged through the agreed portal or secure channel.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4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Accept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Buyer's agency confirms receipt and whether it will contact the client.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5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Engage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Buyer's agency explains its services and enters a separate client agreement if accepted.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6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Update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AF7EF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Only agreed high-level milestones are shared, subject to consent.</w:t>
            </w:r>
          </w:p>
        </w:tc>
      </w:tr>
      <w:tr>
        <w:trPr>
          <w:cantSplit/>
          <w:trHeight w:val="533" w:hRule="atLeast"/>
        </w:trPr>
        <w:tc>
          <w:tcPr>
            <w:tcW w:type="dxa" w:w="73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251F1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D9A520"/>
                <w:sz w:val="21"/>
                <w:u w:val="none"/>
              </w:rPr>
              <w:t>7</w:t>
            </w:r>
          </w:p>
        </w:tc>
        <w:tc>
          <w:tcPr>
            <w:tcW w:type="dxa" w:w="2154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50" w:type="dxa"/>
              <w:bottom w:w="90" w:type="dxa"/>
              <w:right w:w="100" w:type="dxa"/>
            </w:tcMar>
            <w:vAlign w:val="center"/>
          </w:tcPr>
          <w:p>
            <w:pPr>
              <w:keepNext w:val="0"/>
              <w:keepLines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4"/>
                <w:sz w:val="16"/>
                <w:u w:val="none"/>
              </w:rPr>
              <w:t>Complete</w:t>
            </w:r>
          </w:p>
        </w:tc>
        <w:tc>
          <w:tcPr>
            <w:tcW w:type="dxa" w:w="742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FFDFA"/>
            <w:tcMar>
              <w:top w:w="90" w:type="dxa"/>
              <w:left w:w="100" w:type="dxa"/>
              <w:bottom w:w="90" w:type="dxa"/>
              <w:right w:w="150" w:type="dxa"/>
            </w:tcMar>
            <w:vAlign w:val="center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Commercial eligibility is assessed after the agreed qualifying event.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BFE3F7"/>
              <w:left w:val="single" w:sz="18" w:space="0" w:color="0284C5"/>
              <w:bottom w:val="single" w:sz="4" w:space="0" w:color="BFE3F7"/>
              <w:right w:val="single" w:sz="4" w:space="0" w:color="BFE3F7"/>
            </w:tcBorders>
            <w:shd w:val="clear" w:color="auto" w:fill="EBF8FF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284C5"/>
                <w:spacing w:val="28"/>
                <w:sz w:val="15"/>
                <w:u w:val="none"/>
              </w:rPr>
              <w:t>INFORMATION BOUNDARY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Referral information should ordinarily be limited to the client's name, contact details and a general description of the requested property service. Sensitive finance information should only be disclosed where necessary, lawful and specifically authorised by the client.</w:t>
            </w:r>
          </w:p>
        </w:tc>
      </w:tr>
    </w:tbl>
    <w:p>
      <w:pPr>
        <w:keepNext w:val="0"/>
        <w:keepLines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4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COMMERCIAL SCHEDULE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Finance partner referral to buyer's agency   ›   Complete every applicable field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E8C4B4"/>
              <w:left w:val="single" w:sz="18" w:space="0" w:color="C2410C"/>
              <w:bottom w:val="single" w:sz="4" w:space="0" w:color="E8C4B4"/>
              <w:right w:val="single" w:sz="4" w:space="0" w:color="E8C4B4"/>
            </w:tcBorders>
            <w:shd w:val="clear" w:color="auto" w:fill="FEF0F0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C2410C"/>
                <w:spacing w:val="28"/>
                <w:sz w:val="15"/>
                <w:u w:val="none"/>
              </w:rPr>
              <w:t>NO PRE-SET COMMERCIAL TERMS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This schedule intentionally contains no fixed fee, percentage or payment timeframe. The parties must complete every applicable field before execution.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p>
      <w:pPr>
        <w:keepNext/>
        <w:keepLines/>
        <w:spacing w:before="40" w:after="80"/>
      </w:pPr>
      <w:r>
        <w:rPr>
          <w:rFonts w:ascii="Calibri" w:hAnsi="Calibri" w:cs="Calibri" w:eastAsia="Calibri"/>
          <w:b/>
          <w:i w:val="0"/>
          <w:caps w:val="1"/>
          <w:color w:val="7C5E13"/>
          <w:spacing w:val="28"/>
          <w:sz w:val="15"/>
          <w:u w:val="none"/>
        </w:rPr>
        <w:t>SELECT ONE OPTION IN EACH ROW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8151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Remuneration model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Fixed fee        ☐ Percentage of buyer's agency fee        ☐ Other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GST treatment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Plus GST        ☐ GST inclusive        ☐ Not applicable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Qualifying event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Engagement signed        ☐ Unconditional contract        ☐ Settlement        ☐ Other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Invoice process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Tax invoice        ☐ RCTI        ☐ Other: &lt;&lt;INSERT&gt;&gt;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p>
      <w:pPr>
        <w:keepNext/>
        <w:keepLines/>
        <w:spacing w:before="40" w:after="80"/>
      </w:pPr>
      <w:r>
        <w:rPr>
          <w:rFonts w:ascii="Calibri" w:hAnsi="Calibri" w:cs="Calibri" w:eastAsia="Calibri"/>
          <w:b/>
          <w:i w:val="0"/>
          <w:caps w:val="1"/>
          <w:color w:val="7C5E13"/>
          <w:spacing w:val="28"/>
          <w:sz w:val="15"/>
          <w:u w:val="none"/>
        </w:rPr>
        <w:t>COMPLETE EVERY APPLICABLE VALUE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Agreed amount / percentage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AMOUNT OR PERCENTAGE&gt;&gt;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Fee cap / minimum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OR "NOT APPLICABLE"&gt;&gt;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Payment timeframe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&lt;&lt;NUMBER&gt;&gt; business days after the qualifying event and valid invoice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Excluded matters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EXCLUSIONS OR "NONE"&gt;&gt;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Duplicate referral rule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HOW PRIOR OR DUPLICATE CLIENTS ARE TREATED&gt;&gt;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Post-termination entitlement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AGREED TREATMENT OF PRE-TERMINATION REFERRALS&gt;&gt;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C9B8EA"/>
              <w:left w:val="single" w:sz="18" w:space="0" w:color="6128C3"/>
              <w:bottom w:val="single" w:sz="4" w:space="0" w:color="C9B8EA"/>
              <w:right w:val="single" w:sz="4" w:space="0" w:color="C9B8EA"/>
            </w:tcBorders>
            <w:shd w:val="clear" w:color="auto" w:fill="E5DEF2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128C3"/>
                <w:spacing w:val="28"/>
                <w:sz w:val="15"/>
                <w:u w:val="none"/>
              </w:rPr>
              <w:t>COMMERCIAL CONTROL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Commercial terms may only be changed by a written variation signed by both parties. No amount is payable unless the agreed qualifying event occurs and all disclosure, consent and invoicing requirements have been satisfied.</w:t>
            </w:r>
          </w:p>
        </w:tc>
      </w:tr>
    </w:tbl>
    <w:p>
      <w:pPr>
        <w:keepNext w:val="0"/>
        <w:keepLines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5–7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CLIENT CONSENT, PRIVACY &amp; COMMUNICATIONS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Client choice and controlled information exchange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5.  Client Consent and Disclosure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5.1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Finance Partner must obtain the client's consent before disclosing personal information to the Buyer's Agency.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5.2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must clearly disclose any referral payment or other material benefit where disclosure is required by law, professional standards, licence conditions, aggregator policy or the party's internal compliance framework.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5.3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client remains free to decline the referral, choose another provider or cease dealing with either party.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6.  Privacy and Data Security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6.1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must handle personal information in accordance with applicable privacy laws, its privacy policy and reasonable security controls.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6.2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Personal information may only be used for the referral, service delivery, payment administration, compliance and lawful record-keeping purposes.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6.3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A party must promptly notify the other of any suspected privacy incident materially affecting referred clients and cooperate with lawful response obligations.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7.  Client Communications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7.1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Neither party may communicate on behalf of the other without written authority.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7.2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Status updates must be factual, proportionate and limited to the milestones approved by the client and the parties.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7.3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Neither party may guarantee finance approval, property performance, valuation, settlement timing or any financial outcome.</w:t>
            </w:r>
          </w:p>
        </w:tc>
      </w:tr>
    </w:tbl>
    <w:p>
      <w:pPr>
        <w:keepNext w:val="0"/>
        <w:keepLines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8–10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RELATIONSHIP PROTECTIONS &amp; RISK ALLOCATION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Independent responsibility and fair dealing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8.  Client Relationships and Non-Circumvention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8.1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The Finance Partner retains responsibility for its lending relationship and the Buyer's Agency retains responsibility for its property-services relationship.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8.2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Neither party may intentionally bypass the agreed referral process to avoid an accrued payment or knowingly solicit the other party's client for directly competing services outside its normal professional scope.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8.3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Nothing prevents a client from independently choosing, changing or engaging service providers.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9.  Confidentiality, Insurance and Records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9.1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must keep confidential non-public client, commercial and operational information and disclose it only as authorised or required by law.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9.2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must maintain insurance reasonably appropriate to its services and legal obligations.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9.3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must retain referral, consent, disclosure, invoice and payment records for the period required by applicable law and its compliance framework.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10.  Liability and Indemnity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10.1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Each party remains responsible for its own acts, omissions, advice, representations, staff, contractors and regulatory obligations.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10.2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To the extent permitted by law, each party indemnifies the other against third-party loss arising directly from its material breach, negligence, unlawful conduct or unauthorised representation.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10.3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Neither party is liable for the independent decision of a client, lender, vendor, valuer, insurer or other third party, except to the extent caused by that party's own breach or negligence.</w:t>
            </w:r>
          </w:p>
        </w:tc>
      </w:tr>
    </w:tbl>
    <w:p>
      <w:pPr>
        <w:keepNext w:val="0"/>
        <w:keepLines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11–13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TERM, TERMINATION &amp; GENERAL PROVISIONS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Lifecycle, disputes and governing law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11.  Term and Termination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11.1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This Agreement starts when signed by both parties and continues until terminated.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11.2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Either party may terminate without cause by giving &lt;&lt;NUMBER&gt;&gt; days' written notice.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11.3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A party may terminate immediately for an unremedied material breach after &lt;&lt;NUMBER&gt;&gt; business days' written notice, fraud, gross misconduct, insolvency, loss of required licence or material regulatory risk.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11.4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Termination does not affect rights and obligations accrued before termination, including any payment entitlement preserved in the Commercial Schedule.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12.  Dispute Resolution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12.1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A party must first give written details of a dispute and allow senior representatives to attempt resolution in good faith.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12.2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If unresolved within &lt;&lt;NUMBER&gt;&gt; business days, the parties may refer the dispute to mediation before commencing court proceedings, except for urgent relief.</w:t>
            </w:r>
          </w:p>
        </w:tc>
      </w:tr>
    </w:tbl>
    <w:p>
      <w:pPr>
        <w:keepNext w:val="0"/>
        <w:keepLines/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251F18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50" w:type="dxa"/>
              <w:left w:w="190" w:type="dxa"/>
              <w:bottom w:w="150" w:type="dxa"/>
              <w:right w:w="190" w:type="dxa"/>
            </w:tcMar>
          </w:tcPr>
          <w:p>
            <w:pPr>
              <w:keepNext/>
              <w:keepLines/>
              <w:spacing w:before="0" w:after="100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21"/>
                <w:u w:val="none"/>
              </w:rPr>
              <w:t>13.  Notices and General</w:t>
            </w:r>
          </w:p>
          <w:p>
            <w:pPr>
              <w:keepNext w:val="0"/>
              <w:keepLines/>
              <w:tabs>
                <w:tab w:pos="600" w:val="left"/>
              </w:tabs>
              <w:spacing w:before="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13.1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Notices must be in writing and sent to the addresses or emails stated in the Agreement Details, as updated by notice.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13.2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This Agreement, including completed schedules, is the entire agreement on its subject matter and may only be varied in writing signed by both parties.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13.3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Neither party may assign this Agreement without the other party's written consent, not to be unreasonably withheld, except as part of a genuine business restructure that does not reduce the other party's rights.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13.4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If a provision is invalid, it is severed to the minimum extent required. The remaining provisions continue.</w:t>
            </w:r>
          </w:p>
          <w:p>
            <w:pPr>
              <w:keepNext w:val="0"/>
              <w:keepLines/>
              <w:tabs>
                <w:tab w:pos="600" w:val="left"/>
              </w:tabs>
              <w:spacing w:before="80" w:after="0" w:line="312" w:lineRule="auto"/>
              <w:ind w:left="600" w:hanging="600"/>
            </w:pPr>
            <w:r>
              <w:rPr>
                <w:rFonts w:ascii="Calibri" w:hAnsi="Calibri" w:cs="Calibri" w:eastAsia="Calibri"/>
                <w:b/>
                <w:i w:val="0"/>
                <w:color w:val="7C5E13"/>
                <w:sz w:val="19"/>
                <w:u w:val="none"/>
              </w:rPr>
              <w:t>13.5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9"/>
                <w:u w:val="none"/>
              </w:rPr>
              <w:tab/>
              <w:t>This Agreement is governed by the laws of &lt;&lt;STATE OR TERRITORY&gt;&gt; and the parties submit to the courts of that jurisdiction.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14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EXECUTION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Electronic or wet signature   ›   Complete after schedules are final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F8EED3"/>
              <w:left w:val="single" w:sz="24" w:space="0" w:color="D9A520"/>
              <w:bottom w:val="single" w:sz="4" w:space="0" w:color="F8EED3"/>
              <w:right w:val="single" w:sz="4" w:space="0" w:color="F8EED3"/>
            </w:tcBorders>
            <w:shd w:val="clear" w:color="auto" w:fill="FCF5E3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8"/>
                <w:sz w:val="15"/>
                <w:u w:val="none"/>
              </w:rPr>
              <w:t>EXECUTION NOTE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Select the execution block appropriate to each entity. The parties may execute counterparts and use an approved electronic signature platform.</w:t>
            </w:r>
          </w:p>
        </w:tc>
      </w:tr>
    </w:tbl>
    <w:p>
      <w:pPr>
        <w:keepNext w:val="0"/>
        <w:keepLines/>
        <w:spacing w:before="0" w:after="0" w:line="1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Borders>
              <w:top w:val="single" w:sz="12" w:space="0" w:color="D9A520"/>
              <w:left w:val="single" w:sz="4" w:space="0" w:color="DDD1C0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60" w:type="dxa"/>
              <w:left w:w="190" w:type="dxa"/>
              <w:bottom w:w="190" w:type="dxa"/>
              <w:right w:w="190" w:type="dxa"/>
            </w:tcMar>
          </w:tcPr>
          <w:p>
            <w:pPr>
              <w:keepNext/>
              <w:keepLines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251F18"/>
                <w:spacing w:val="26"/>
                <w:sz w:val="16"/>
                <w:u w:val="none"/>
              </w:rPr>
              <w:t>Signed for the buyer's agency</w:t>
            </w:r>
          </w:p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Legal entity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Name of signatory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Title / capacity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____ / ____ / 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Witness (if required)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</w:tc>
        <w:tc>
          <w:tcPr>
            <w:tcW w:type="dxa" w:w="5159"/>
            <w:tcBorders>
              <w:top w:val="single" w:sz="12" w:space="0" w:color="D9A520"/>
              <w:left w:val="single" w:sz="4" w:space="0" w:color="DDD1C0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60" w:type="dxa"/>
              <w:left w:w="190" w:type="dxa"/>
              <w:bottom w:w="190" w:type="dxa"/>
              <w:right w:w="190" w:type="dxa"/>
            </w:tcMar>
          </w:tcPr>
          <w:p>
            <w:pPr>
              <w:keepNext/>
              <w:keepLines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251F18"/>
                <w:spacing w:val="26"/>
                <w:sz w:val="16"/>
                <w:u w:val="none"/>
              </w:rPr>
              <w:t>Signed for the finance partner</w:t>
            </w:r>
          </w:p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Legal entity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Name of signatory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Title / capacity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____ / ____ / 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Witness (if required)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</w:tc>
      </w:tr>
    </w:tbl>
    <w:p>
      <w:pPr>
        <w:keepNext w:val="0"/>
        <w:keepLines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DDD1C0"/>
              <w:left w:val="single" w:sz="18" w:space="0" w:color="6E6253"/>
              <w:bottom w:val="single" w:sz="4" w:space="0" w:color="DDD1C0"/>
              <w:right w:val="single" w:sz="4" w:space="0" w:color="DDD1C0"/>
            </w:tcBorders>
            <w:shd w:val="clear" w:color="auto" w:fill="FAF7EF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8"/>
                <w:sz w:val="15"/>
                <w:u w:val="none"/>
              </w:rPr>
              <w:t>OPTIONAL COMPANY EXECUTION — SECTION 127, CORPORATIONS ACT 2001 (CTH)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Use the block below only where it is appropriate for the executing entity and approved by the relevant advisers.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tcBorders>
              <w:top w:val="single" w:sz="12" w:space="0" w:color="D9A520"/>
              <w:left w:val="single" w:sz="4" w:space="0" w:color="DDD1C0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60" w:type="dxa"/>
              <w:left w:w="190" w:type="dxa"/>
              <w:bottom w:w="190" w:type="dxa"/>
              <w:right w:w="190" w:type="dxa"/>
            </w:tcMar>
          </w:tcPr>
          <w:p>
            <w:pPr>
              <w:keepNext/>
              <w:keepLines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251F18"/>
                <w:spacing w:val="26"/>
                <w:sz w:val="16"/>
                <w:u w:val="none"/>
              </w:rPr>
              <w:t>Director / sole director</w:t>
            </w:r>
          </w:p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Name and signature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____ / ____ / ______</w:t>
            </w:r>
          </w:p>
        </w:tc>
        <w:tc>
          <w:tcPr>
            <w:tcW w:type="dxa" w:w="5159"/>
            <w:tcBorders>
              <w:top w:val="single" w:sz="12" w:space="0" w:color="D9A520"/>
              <w:left w:val="single" w:sz="4" w:space="0" w:color="DDD1C0"/>
              <w:bottom w:val="single" w:sz="4" w:space="0" w:color="DDD1C0"/>
              <w:right w:val="single" w:sz="4" w:space="0" w:color="DDD1C0"/>
            </w:tcBorders>
            <w:shd w:val="clear" w:color="auto" w:fill="FFFDFA"/>
            <w:tcMar>
              <w:top w:w="160" w:type="dxa"/>
              <w:left w:w="190" w:type="dxa"/>
              <w:bottom w:w="190" w:type="dxa"/>
              <w:right w:w="190" w:type="dxa"/>
            </w:tcMar>
          </w:tcPr>
          <w:p>
            <w:pPr>
              <w:keepNext/>
              <w:keepLines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251F18"/>
                <w:spacing w:val="26"/>
                <w:sz w:val="16"/>
                <w:u w:val="none"/>
              </w:rPr>
              <w:t>Director / company secretary</w:t>
            </w:r>
          </w:p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Name and signature   </w:t>
            </w: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 OR N/A&gt;&gt;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EBDA1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spacing w:before="12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6E625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298"/>
      </w:tblGrid>
      <w:tr>
        <w:trPr>
          <w:cantSplit/>
          <w:trHeight w:val="737" w:hRule="atLeast"/>
        </w:trPr>
        <w:tc>
          <w:tcPr>
            <w:tcW w:type="dxa" w:w="1020"/>
            <w:shd w:val="clear" w:color="auto" w:fill="D9A52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keepNext w:val="0"/>
              <w:keepLines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251F18"/>
                <w:sz w:val="30"/>
                <w:u w:val="none"/>
              </w:rPr>
              <w:t>A</w:t>
            </w:r>
          </w:p>
        </w:tc>
        <w:tc>
          <w:tcPr>
            <w:tcW w:type="dxa" w:w="9298"/>
            <w:shd w:val="clear" w:color="auto" w:fill="251F18"/>
            <w:tcMar>
              <w:top w:w="100" w:type="dxa"/>
              <w:left w:w="200" w:type="dxa"/>
              <w:bottom w:w="100" w:type="dxa"/>
              <w:right w:w="160" w:type="dxa"/>
            </w:tcMar>
            <w:vAlign w:val="center"/>
          </w:tcPr>
          <w:p>
            <w:pPr>
              <w:keepNext/>
              <w:keepLines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REFERRAL REGISTRATION FORM</w:t>
            </w:r>
          </w:p>
          <w:p>
            <w:pPr>
              <w:keepNext/>
              <w:keepLines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D9A520"/>
                <w:spacing w:val="22"/>
                <w:sz w:val="16"/>
                <w:u w:val="none"/>
              </w:rPr>
              <w:t>Finance partner to buyer's agency   ›   Secure activation record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F8EED3"/>
              <w:left w:val="single" w:sz="24" w:space="0" w:color="D9A520"/>
              <w:bottom w:val="single" w:sz="4" w:space="0" w:color="F8EED3"/>
              <w:right w:val="single" w:sz="4" w:space="0" w:color="F8EED3"/>
            </w:tcBorders>
            <w:shd w:val="clear" w:color="auto" w:fill="FCF5E3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7C5E13"/>
                <w:spacing w:val="28"/>
                <w:sz w:val="15"/>
                <w:u w:val="none"/>
              </w:rPr>
              <w:t>ONE FORM PER REFERRAL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Complete a new registration form for every client introduction. Retain the completed form with the consent record for the retention period set out in clause 9.3.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2992"/>
        <w:gridCol w:w="2167"/>
        <w:gridCol w:w="2992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Referral ID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&lt;&lt;AUTO-GENERATED OR 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Referral date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&lt;&lt;DATE&gt;&gt;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Finance partner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&lt;&lt;LEGAL / TRADING NAME&gt;&gt;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Referring adviser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&lt;&lt;NAME AND CRN IF APPLICABLE&gt;&gt;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Client name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&lt;&lt;CLIENT NAME&gt;&gt;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Client contact details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&lt;&lt;PHONE AND EMAIL&gt;&gt;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General property requirement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&lt;&lt;OWNER-OCCUPIED / INVESTMENT / OTHER&gt;&gt;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Estimated timing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Assigned consultant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Assessed by / date</w:t>
            </w:r>
          </w:p>
        </w:tc>
        <w:tc>
          <w:tcPr>
            <w:tcW w:type="dxa" w:w="2992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/>
                <w:color w:val="9A8D7C"/>
                <w:sz w:val="17"/>
                <w:u w:val="none"/>
              </w:rPr>
              <w:t>&lt;&lt;INSERT&gt;&gt;</w:t>
            </w:r>
          </w:p>
        </w:tc>
      </w:tr>
    </w:tbl>
    <w:p>
      <w:pPr>
        <w:keepNext w:val="0"/>
        <w:keepLines/>
        <w:spacing w:before="0" w:after="0" w:line="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7"/>
        <w:gridCol w:w="8151"/>
      </w:tblGrid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Consent obtained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Yes        ☐ No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Benefit disclosed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Yes        ☐ No        ☐ Not applicable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Prior client check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New        ☐ Existing        ☐ Duplicate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Current status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Submitted     ☐ Accepted     ☐ Contacted     ☐ Engaged     ☐ Contracted     ☐ Settled</w:t>
            </w:r>
          </w:p>
        </w:tc>
      </w:tr>
      <w:tr>
        <w:trPr>
          <w:cantSplit/>
          <w:trHeight w:val="488" w:hRule="atLeast"/>
        </w:trPr>
        <w:tc>
          <w:tcPr>
            <w:tcW w:type="dxa" w:w="2167"/>
            <w:tcBorders>
              <w:top w:val="single" w:sz="4" w:space="0" w:color="FFFDFA"/>
              <w:left w:val="nil"/>
              <w:bottom w:val="single" w:sz="4" w:space="0" w:color="FFFDFA"/>
              <w:right w:val="nil"/>
            </w:tcBorders>
            <w:shd w:val="clear" w:color="auto" w:fill="F2EBDE"/>
            <w:tcMar>
              <w:top w:w="90" w:type="dxa"/>
              <w:left w:w="130" w:type="dxa"/>
              <w:bottom w:w="90" w:type="dxa"/>
              <w:right w:w="8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312A21"/>
                <w:spacing w:val="18"/>
                <w:sz w:val="15"/>
                <w:u w:val="none"/>
              </w:rPr>
              <w:t>Commercial eligibility</w:t>
            </w:r>
          </w:p>
        </w:tc>
        <w:tc>
          <w:tcPr>
            <w:tcW w:type="dxa" w:w="8151"/>
            <w:tcBorders>
              <w:top w:val="single" w:sz="4" w:space="0" w:color="FFFDFA"/>
              <w:left w:val="nil"/>
              <w:bottom w:val="single" w:sz="6" w:space="0" w:color="F8EED3"/>
              <w:right w:val="nil"/>
            </w:tcBorders>
            <w:shd w:val="clear" w:color="auto" w:fill="FFFD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☐ Pending        ☐ Eligible        ☐ Not eligible</w:t>
            </w:r>
          </w:p>
        </w:tc>
      </w:tr>
    </w:tbl>
    <w:p>
      <w:pPr>
        <w:keepNext w:val="0"/>
        <w:keepLines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sz="4" w:space="0" w:color="BFE3F7"/>
              <w:left w:val="single" w:sz="18" w:space="0" w:color="0284C5"/>
              <w:bottom w:val="single" w:sz="4" w:space="0" w:color="BFE3F7"/>
              <w:right w:val="single" w:sz="4" w:space="0" w:color="BFE3F7"/>
            </w:tcBorders>
            <w:shd w:val="clear" w:color="auto" w:fill="EBF8FF"/>
            <w:tcMar>
              <w:top w:w="130" w:type="dxa"/>
              <w:left w:w="190" w:type="dxa"/>
              <w:bottom w:w="130" w:type="dxa"/>
              <w:right w:w="190" w:type="dxa"/>
            </w:tcMar>
          </w:tcPr>
          <w:p>
            <w:pPr>
              <w:keepNext/>
              <w:keepLines/>
              <w:spacing w:before="0" w:after="4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284C5"/>
                <w:spacing w:val="28"/>
                <w:sz w:val="15"/>
                <w:u w:val="none"/>
              </w:rPr>
              <w:t>PERMITTED UPDATE FIELDS</w:t>
            </w:r>
          </w:p>
          <w:p>
            <w:pPr>
              <w:keepNext w:val="0"/>
              <w:keepLines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312A21"/>
                <w:sz w:val="17"/>
                <w:u w:val="none"/>
              </w:rPr>
              <w:t>Subject to client consent, status updates should be limited to high-level milestones such as contacted, engaged, searching, contract signed, finance milestone and settled. Detailed financial or personal information should not be disclosed unless specifically authorised.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794" w:bottom="1020" w:left="794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365"/>
      <w:gridCol w:w="4953"/>
    </w:tblGrid>
    <w:tr>
      <w:trPr>
        <w:cantSplit/>
      </w:trPr>
      <w:tc>
        <w:tcPr>
          <w:tcW w:type="dxa" w:w="5365"/>
          <w:tcBorders>
            <w:top w:val="single" w:sz="4" w:space="0" w:color="DDD1C0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keepNext w:val="0"/>
            <w:keepLines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7C5E13"/>
              <w:spacing w:val="2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  &lt;&lt;DISCLAIMER&gt;&gt;</w:t>
          </w:r>
        </w:p>
      </w:tc>
      <w:tc>
        <w:tcPr>
          <w:tcW w:type="dxa" w:w="4953"/>
          <w:tcBorders>
            <w:top w:val="single" w:sz="4" w:space="0" w:color="DDD1C0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keepNext w:val="0"/>
            <w:keepLines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Powered by Aurixa Systems   |  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t>v3.0</w:t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  |   Page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365"/>
      <w:gridCol w:w="4953"/>
    </w:tblGrid>
    <w:tr>
      <w:trPr>
        <w:cantSplit/>
      </w:trPr>
      <w:tc>
        <w:tcPr>
          <w:tcW w:type="dxa" w:w="5365"/>
          <w:tcBorders>
            <w:top w:val="single" w:sz="4" w:space="0" w:color="DDD1C0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keepNext w:val="0"/>
            <w:keepLines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7C5E13"/>
              <w:spacing w:val="2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  &lt;&lt;DISCLAIMER&gt;&gt;</w:t>
          </w:r>
        </w:p>
      </w:tc>
      <w:tc>
        <w:tcPr>
          <w:tcW w:type="dxa" w:w="4953"/>
          <w:tcBorders>
            <w:top w:val="single" w:sz="4" w:space="0" w:color="DDD1C0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keepNext w:val="0"/>
            <w:keepLines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Powered by Aurixa Systems   |  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t>v3.0</w:t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  |   Page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9A8D7C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6E625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159"/>
      <w:gridCol w:w="5159"/>
    </w:tblGrid>
    <w:tr>
      <w:trPr>
        <w:cantSplit/>
      </w:trPr>
      <w:tc>
        <w:tcPr>
          <w:tcW w:type="dxa" w:w="5159"/>
          <w:tcBorders>
            <w:top w:val="nil"/>
            <w:left w:val="nil"/>
            <w:bottom w:val="single" w:sz="8" w:space="0" w:color="D9A52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6E6253"/>
              <w:spacing w:val="22"/>
              <w:sz w:val="14"/>
              <w:u w:val="none"/>
            </w:rPr>
            <w:t>&lt;&lt;COMPANY NAME&gt;&gt;</w:t>
          </w:r>
        </w:p>
      </w:tc>
      <w:tc>
        <w:tcPr>
          <w:tcW w:type="dxa" w:w="5159"/>
          <w:tcBorders>
            <w:top w:val="nil"/>
            <w:left w:val="nil"/>
            <w:bottom w:val="single" w:sz="8" w:space="0" w:color="D9A52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6E6253"/>
              <w:spacing w:val="22"/>
              <w:sz w:val="14"/>
              <w:u w:val="none"/>
            </w:rPr>
            <w:t>Strategic Property Referral Agreement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 w:cs="Calibri" w:eastAsia="Calibri"/>
      <w:color w:val="312A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Property Referral Agreement</dc:title>
  <dc:subject>Buyer's agency to finance partner referral agreement — white-label template</dc:subject>
  <dc:creator>&lt;&lt;COMPANY NAME&gt;&gt;</dc:creator>
  <cp:keywords>referral agreement, buyer's agency, finance partner, white label, Aurixa</cp:keywords>
  <dc:description>White-label template generated by scripts/finance-portal-templates. Edit the builder script and regenerate rather than editing this file by hand.</dc:description>
  <cp:lastModifiedBy/>
  <cp:revision>1</cp:revision>
  <dcterms:created xsi:type="dcterms:W3CDTF">2013-12-23T23:15:00Z</dcterms:created>
  <dcterms:modified xsi:type="dcterms:W3CDTF">2013-12-23T23:15:00Z</dcterms:modified>
  <cp:category>Finance Portal template</cp:category>
</cp:coreProperties>
</file>