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FE1D" w14:textId="7A3E602C" w:rsidR="00766E3A" w:rsidRDefault="004E4D5E">
      <w:pPr>
        <w:rPr>
          <w:rFonts w:ascii="Clarity City" w:hAnsi="Clarity City"/>
          <w:sz w:val="24"/>
          <w:szCs w:val="24"/>
          <w:lang w:val="en-US"/>
        </w:rPr>
      </w:pPr>
      <w:r w:rsidRPr="004E4D5E">
        <w:rPr>
          <w:rFonts w:ascii="Clarity City" w:hAnsi="Clarity City"/>
          <w:sz w:val="24"/>
          <w:szCs w:val="24"/>
          <w:lang w:val="en-US"/>
        </w:rPr>
        <w:t>Triggers</w:t>
      </w:r>
    </w:p>
    <w:p w14:paraId="45FC6318" w14:textId="739AE0ED" w:rsidR="004E4D5E" w:rsidRDefault="004E4D5E">
      <w:pPr>
        <w:rPr>
          <w:rFonts w:ascii="Clarity City" w:hAnsi="Clarity City"/>
          <w:sz w:val="24"/>
          <w:szCs w:val="24"/>
          <w:lang w:val="en-US"/>
        </w:rPr>
      </w:pPr>
      <w:r>
        <w:rPr>
          <w:rFonts w:ascii="Clarity City" w:hAnsi="Clarity City"/>
          <w:sz w:val="24"/>
          <w:szCs w:val="24"/>
          <w:lang w:val="en-US"/>
        </w:rPr>
        <w:t>Triggers are special type of stored procedures that activates automatically in response to events like insert, delete, update tables.</w:t>
      </w:r>
    </w:p>
    <w:p w14:paraId="17B3E534" w14:textId="6B04A44B" w:rsidR="004E4D5E" w:rsidRDefault="004E4D5E">
      <w:pPr>
        <w:rPr>
          <w:rFonts w:ascii="Clarity City" w:hAnsi="Clarity City"/>
          <w:sz w:val="24"/>
          <w:szCs w:val="24"/>
          <w:lang w:val="en-US"/>
        </w:rPr>
      </w:pPr>
      <w:r>
        <w:rPr>
          <w:rFonts w:ascii="Clarity City" w:hAnsi="Clarity City"/>
          <w:sz w:val="24"/>
          <w:szCs w:val="24"/>
          <w:lang w:val="en-US"/>
        </w:rPr>
        <w:t>Triggers are a step ahead than stored procedures which activates with every modification event occurs no need of calling that procedure again.</w:t>
      </w:r>
    </w:p>
    <w:p w14:paraId="2C1FBA99" w14:textId="21A6FC88" w:rsidR="004E4D5E" w:rsidRDefault="004E4D5E">
      <w:pPr>
        <w:rPr>
          <w:rFonts w:ascii="Clarity City" w:hAnsi="Clarity City"/>
          <w:sz w:val="24"/>
          <w:szCs w:val="24"/>
          <w:lang w:val="en-US"/>
        </w:rPr>
      </w:pPr>
      <w:r>
        <w:rPr>
          <w:rFonts w:ascii="Clarity City" w:hAnsi="Clarity City"/>
          <w:sz w:val="24"/>
          <w:szCs w:val="24"/>
          <w:lang w:val="en-US"/>
        </w:rPr>
        <w:t>The insert statement here is called as row-level trigger where-in one row will get effected.</w:t>
      </w:r>
    </w:p>
    <w:p w14:paraId="63F5BEC4" w14:textId="77777777" w:rsidR="004E4D5E" w:rsidRDefault="004E4D5E">
      <w:pPr>
        <w:rPr>
          <w:rFonts w:ascii="Clarity City" w:hAnsi="Clarity City"/>
          <w:sz w:val="24"/>
          <w:szCs w:val="24"/>
          <w:lang w:val="en-US"/>
        </w:rPr>
      </w:pPr>
    </w:p>
    <w:p w14:paraId="742316B3" w14:textId="77777777" w:rsidR="004E4D5E" w:rsidRDefault="004E4D5E" w:rsidP="004E4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gklearning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mobiles`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mobileID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mobileName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mobileType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mobileVersion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mobileSerial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Accessories_accessID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Suppliers_supplierID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'305'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iBall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zamgame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'856'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'623'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'101'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21A043A" w14:textId="77777777" w:rsidR="004E4D5E" w:rsidRDefault="004E4D5E" w:rsidP="004E4D5E">
      <w:pPr>
        <w:autoSpaceDE w:val="0"/>
        <w:autoSpaceDN w:val="0"/>
        <w:adjustRightInd w:val="0"/>
        <w:spacing w:after="0" w:line="240" w:lineRule="auto"/>
        <w:rPr>
          <w:noProof/>
        </w:rPr>
      </w:pPr>
      <w:bookmarkStart w:id="0" w:name="_GoBack"/>
      <w:bookmarkEnd w:id="0"/>
    </w:p>
    <w:p w14:paraId="4B210461" w14:textId="77777777" w:rsidR="004E4D5E" w:rsidRDefault="004E4D5E" w:rsidP="004E4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361C4DB" wp14:editId="38C9E219">
            <wp:extent cx="557212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78" t="14778" r="21394" b="67488"/>
                    <a:stretch/>
                  </pic:blipFill>
                  <pic:spPr bwMode="auto"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E3433" w14:textId="77777777" w:rsidR="004E4D5E" w:rsidRDefault="004E4D5E" w:rsidP="004E4D5E">
      <w:pPr>
        <w:rPr>
          <w:rFonts w:ascii="Clarity City" w:hAnsi="Clarity City"/>
        </w:rPr>
      </w:pPr>
    </w:p>
    <w:p w14:paraId="161F64DB" w14:textId="4C9D061B" w:rsidR="004E4D5E" w:rsidRDefault="004E4D5E" w:rsidP="004E4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mobiles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mobileID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'305'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F00100D" w14:textId="77777777" w:rsidR="001D39F3" w:rsidRDefault="001D39F3" w:rsidP="004E4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D6CD630" w14:textId="77777777" w:rsidR="004E4D5E" w:rsidRDefault="004E4D5E" w:rsidP="004E4D5E">
      <w:pPr>
        <w:rPr>
          <w:rFonts w:ascii="Clarity City" w:hAnsi="Clarity City"/>
        </w:rPr>
      </w:pPr>
      <w:r>
        <w:rPr>
          <w:noProof/>
        </w:rPr>
        <w:drawing>
          <wp:inline distT="0" distB="0" distL="0" distR="0" wp14:anchorId="08738FE5" wp14:editId="54640441">
            <wp:extent cx="557212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112" t="14779" r="21725" b="69852"/>
                    <a:stretch/>
                  </pic:blipFill>
                  <pic:spPr bwMode="auto">
                    <a:xfrm>
                      <a:off x="0" y="0"/>
                      <a:ext cx="55721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7E903" w14:textId="77777777" w:rsidR="004E4D5E" w:rsidRPr="004E4D5E" w:rsidRDefault="004E4D5E">
      <w:pPr>
        <w:rPr>
          <w:rFonts w:ascii="Clarity City" w:hAnsi="Clarity City"/>
          <w:sz w:val="24"/>
          <w:szCs w:val="24"/>
          <w:lang w:val="en-US"/>
        </w:rPr>
      </w:pPr>
    </w:p>
    <w:sectPr w:rsidR="004E4D5E" w:rsidRPr="004E4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rity City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2F"/>
    <w:rsid w:val="001D39F3"/>
    <w:rsid w:val="004E4D5E"/>
    <w:rsid w:val="00766E3A"/>
    <w:rsid w:val="00FE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7428"/>
  <w15:chartTrackingRefBased/>
  <w15:docId w15:val="{C6CF9F3E-512E-4DA7-9637-18E8106E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2</cp:revision>
  <dcterms:created xsi:type="dcterms:W3CDTF">2021-12-17T13:05:00Z</dcterms:created>
  <dcterms:modified xsi:type="dcterms:W3CDTF">2021-12-17T13:23:00Z</dcterms:modified>
</cp:coreProperties>
</file>