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LEDGER ZERO: Security Self-Assessment Report</w:t>
      </w:r>
    </w:p>
    <w:p>
      <w:r>
        <w:rPr>
          <w:color w:val="047857"/>
        </w:rPr>
        <w:t>Tsinghua University PBCSF &amp; WeBank Global FinTechathon — Topic E Security &amp; Compliance</w:t>
      </w:r>
    </w:p>
    <w:p>
      <w:pPr>
        <w:pStyle w:val="Heading1"/>
      </w:pPr>
      <w:r>
        <w:t>1. Executive Summary</w:t>
      </w:r>
    </w:p>
    <w:p>
      <w:r>
        <w:t>In financial applications designed for small enterprises, security is not an afterthought—it is the foundational prerequisite of adoption. Small business owners cannot tolerate erroneous accounting, unauthorized ledger modifications, or data leaks. LEDGER ZERO adheres to the core principle of &lt;b&gt;Deterministic Financial Decoupling&lt;/b&gt;: generative AI interprets user intentions and drafts action proposals, but &lt;b&gt;never touches the ledger unilaterally&lt;/b&gt;. Every state mutation is governed by deterministic business rules, strict Role-Based Access Control (RBAC), and Human-in-the-Loop (HITL) approval gates.</w:t>
      </w:r>
    </w:p>
    <w:p>
      <w:pPr>
        <w:pStyle w:val="Heading1"/>
      </w:pPr>
      <w:r>
        <w:t>2. Permission-Tier Architecture &amp; RBAC</w:t>
      </w:r>
    </w:p>
    <w:p>
      <w:r>
        <w:t>• Owner: Complete administrative authority and unilateral veto power.</w:t>
        <w:br/>
        <w:t>• Manager: Operational management of stock, invoices, and debt recovery.</w:t>
        <w:br/>
        <w:t>• Cashier: Restricted strictly to POS sales and receipt issuing.</w:t>
        <w:br/>
        <w:t>• Viewer: Read-only access to financial reports and audit logs.</w:t>
      </w:r>
    </w:p>
    <w:p>
      <w:pPr>
        <w:pStyle w:val="Heading1"/>
      </w:pPr>
      <w:r>
        <w:t>3. Known-Risk List &amp; Mitigations</w:t>
      </w:r>
    </w:p>
    <w:p>
      <w:r>
        <w:t>1. LLM Hallucination Risk -&gt; Mitigated by 100% deterministic TypeScript financial calculators.</w:t>
        <w:br/>
        <w:t>2. Prompt Injection Risk -&gt; Mitigated by strict Zod schema validation and rejection of unverified intents.</w:t>
        <w:br/>
        <w:t>3. Multi-Tenant Data Leakage -&gt; Mitigated by PostgreSQL Row-Level Security (RLS).</w:t>
        <w:br/>
        <w:t>4. Unauthorized Mutations -&gt; Mitigated by mandatory Human-in-the-Loop (HITL) approval gates.</w:t>
        <w:br/>
        <w:t>5. Audit Tampering -&gt; Mitigated by append-only database tables with disabled DELETE/UPDATE permissions.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