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600"/>
      </w:pPr>
      <w:r>
        <w:rPr>
          <w:rFonts w:ascii="Calibri" w:cs="Calibri" w:eastAsia="Calibri" w:hAnsi="Calibri"/>
          <w:b/>
          <w:bCs/>
          <w:caps/>
          <w:color w:val="2E75B6"/>
          <w:sz w:val="22"/>
          <w:szCs w:val="22"/>
        </w:rPr>
        <w:t xml:space="preserve">TECHNICAL SPECIFICATION &amp; OPERATING RULEBOOK</w:t>
      </w:r>
    </w:p>
    <w:p>
      <w:pPr>
        <w:pBdr>
          <w:bottom w:val="single" w:color="2E75B6" w:sz="6"/>
        </w:pBdr>
        <w:spacing w:after="200" w:before="80"/>
      </w:pPr>
      <w:r>
        <w:rPr>
          <w:rFonts w:ascii="Calibri" w:cs="Calibri" w:eastAsia="Calibri" w:hAnsi="Calibri"/>
        </w:rPr>
        <w:t xml:space="preserve"/>
      </w:r>
    </w:p>
    <w:p>
      <w:pPr>
        <w:spacing w:after="120" w:before="120"/>
      </w:pPr>
      <w:r>
        <w:rPr>
          <w:rFonts w:ascii="Calibri" w:cs="Calibri" w:eastAsia="Calibri" w:hAnsi="Calibri"/>
          <w:b/>
          <w:bCs/>
          <w:color w:val="1F3864"/>
          <w:sz w:val="48"/>
          <w:szCs w:val="48"/>
        </w:rPr>
        <w:t xml:space="preserve">Agentic AI System for Automated Data-Flow</w:t>
      </w:r>
    </w:p>
    <w:p>
      <w:pPr>
        <w:spacing w:after="300"/>
      </w:pPr>
      <w:r>
        <w:rPr>
          <w:rFonts w:ascii="Calibri" w:cs="Calibri" w:eastAsia="Calibri" w:hAnsi="Calibri"/>
          <w:b/>
          <w:bCs/>
          <w:color w:val="1F3864"/>
          <w:sz w:val="48"/>
          <w:szCs w:val="48"/>
        </w:rPr>
        <w:t xml:space="preserve">Validation and Client Remediation</w:t>
      </w:r>
    </w:p>
    <w:p>
      <w:pPr>
        <w:spacing w:after="120"/>
      </w:pPr>
      <w:r>
        <w:rPr>
          <w:rFonts w:ascii="Calibri" w:cs="Calibri" w:eastAsia="Calibri" w:hAnsi="Calibri"/>
          <w:i/>
          <w:iCs/>
          <w:color w:val="595959"/>
          <w:sz w:val="24"/>
          <w:szCs w:val="24"/>
        </w:rPr>
        <w:t xml:space="preserve">Rules for semantic, format, structural (mimetic), content and consistency validation of a client data flow, with automated anomaly detection and client-facing remediation — including Italian VAT (IVA) and electronic-invoicing controls.</w:t>
      </w:r>
    </w:p>
    <w:p>
      <w:pPr>
        <w:spacing w:after="600"/>
      </w:pPr>
      <w:r>
        <w:rPr>
          <w:rFonts w:ascii="Calibri" w:cs="Calibri" w:eastAsia="Calibri" w:hAnsi="Calibri"/>
        </w:rPr>
        <w:t xml:space="preserve"/>
      </w:r>
    </w:p>
    <w:p>
      <w:pPr>
        <w:spacing w:after="100"/>
      </w:pPr>
      <w:r>
        <w:rPr>
          <w:rFonts w:ascii="Calibri" w:cs="Calibri" w:eastAsia="Calibri" w:hAnsi="Calibri"/>
          <w:b/>
          <w:bCs/>
          <w:color w:val="1F3864"/>
          <w:sz w:val="22"/>
          <w:szCs w:val="22"/>
        </w:rPr>
        <w:t xml:space="preserve">Document control</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00"/>
      </w:tblGrid>
      <w:tr>
        <w:trPr>
          <w:tblHeader/>
        </w:trPr>
        <w:tc>
          <w:tcPr>
            <w:tcW w:type="dxa" w:w="2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Field</w:t>
            </w:r>
          </w:p>
        </w:tc>
        <w:tc>
          <w:tcPr>
            <w:tcW w:type="dxa" w:w="68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Value</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Document title</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Agentic AI System for Automated Data-Flow Validation and Client Remediation</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Document type</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Functional &amp; regulatory specification / operating rulebook</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Version</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1.0</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Status</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Issued for implementation</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Date of issue</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To be completed on release</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Owner / author</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To be completed (process owner)</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Applies to client</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To be completed (single client engagement)</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Jurisdiction</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Italy — EU</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Classification</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Confidential</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Review cycle</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Semi-annual, or upon any regulatory change</w:t>
            </w:r>
          </w:p>
        </w:tc>
      </w:tr>
    </w:tbl>
    <w:p>
      <w:pPr>
        <w:spacing w:after="200"/>
      </w:pPr>
      <w:r>
        <w:rPr>
          <w:rFonts w:ascii="Calibri" w:cs="Calibri" w:eastAsia="Calibri" w:hAnsi="Calibri"/>
        </w:rPr>
        <w:t xml:space="preserve"/>
      </w:r>
    </w:p>
    <w:p>
      <w:pPr>
        <w:spacing w:after="0" w:before="0" w:line="276"/>
      </w:pPr>
      <w:r>
        <w:rPr>
          <w:rFonts w:ascii="Calibri" w:cs="Calibri" w:eastAsia="Calibri" w:hAnsi="Calibri"/>
          <w:i/>
          <w:iCs/>
          <w:color w:val="595959"/>
          <w:sz w:val="19"/>
          <w:szCs w:val="19"/>
        </w:rPr>
        <w:t xml:space="preserve">Note on terminology: </w:t>
      </w:r>
      <w:r>
        <w:rPr>
          <w:rFonts w:ascii="Calibri" w:cs="Calibri" w:eastAsia="Calibri" w:hAnsi="Calibri"/>
          <w:i/>
          <w:iCs/>
          <w:color w:val="595959"/>
          <w:sz w:val="19"/>
          <w:szCs w:val="19"/>
        </w:rPr>
        <w:t xml:space="preserve">the source request lists five validation layers — semantica, formato, mimica, contenuto, coerenza. In this document these are rendered as </w:t>
      </w:r>
      <w:r>
        <w:rPr>
          <w:rFonts w:ascii="Calibri" w:cs="Calibri" w:eastAsia="Calibri" w:hAnsi="Calibri"/>
          <w:b/>
          <w:bCs/>
          <w:i/>
          <w:iCs/>
          <w:color w:val="595959"/>
          <w:sz w:val="19"/>
          <w:szCs w:val="19"/>
        </w:rPr>
        <w:t xml:space="preserve">semantic, format, structural/pattern (mimetic), content and consistency</w:t>
      </w:r>
      <w:r>
        <w:rPr>
          <w:rFonts w:ascii="Calibri" w:cs="Calibri" w:eastAsia="Calibri" w:hAnsi="Calibri"/>
          <w:i/>
          <w:iCs/>
          <w:color w:val="595959"/>
          <w:sz w:val="19"/>
          <w:szCs w:val="19"/>
        </w:rPr>
        <w:t xml:space="preserve"> validation respectively. "Mimetic" validation is defined here as conformity of the data to the expected template, layout and field patterns.</w:t>
      </w:r>
    </w:p>
    <w:p>
      <w:r>
        <w:br w:type="page"/>
      </w:r>
    </w:p>
    <w:p>
      <w:pPr>
        <w:spacing w:after="160"/>
      </w:pPr>
      <w:r>
        <w:rPr>
          <w:rFonts w:ascii="Calibri" w:cs="Calibri" w:eastAsia="Calibri" w:hAnsi="Calibri"/>
          <w:b/>
          <w:bCs/>
          <w:color w:val="1F3864"/>
          <w:sz w:val="30"/>
          <w:szCs w:val="30"/>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140" w:before="320"/>
      </w:pPr>
      <w:r>
        <w:rPr>
          <w:rFonts w:ascii="Calibri" w:cs="Calibri" w:eastAsia="Calibri" w:hAnsi="Calibri"/>
          <w:b/>
          <w:bCs/>
          <w:color w:val="1F3864"/>
          <w:sz w:val="30"/>
          <w:szCs w:val="30"/>
        </w:rPr>
        <w:t xml:space="preserve">1.  Purpose and scope</w:t>
      </w:r>
    </w:p>
    <w:p>
      <w:pPr>
        <w:pStyle w:val="Heading2"/>
        <w:spacing w:after="100" w:before="240"/>
      </w:pPr>
      <w:r>
        <w:rPr>
          <w:rFonts w:ascii="Calibri" w:cs="Calibri" w:eastAsia="Calibri" w:hAnsi="Calibri"/>
          <w:b/>
          <w:bCs/>
          <w:color w:val="2E75B6"/>
          <w:sz w:val="25"/>
          <w:szCs w:val="25"/>
        </w:rPr>
        <w:t xml:space="preserve">1.1  Purpose</w:t>
      </w:r>
    </w:p>
    <w:p>
      <w:pPr>
        <w:spacing w:after="120" w:before="0" w:line="276"/>
      </w:pPr>
      <w:r>
        <w:rPr>
          <w:rFonts w:ascii="Calibri" w:cs="Calibri" w:eastAsia="Calibri" w:hAnsi="Calibri"/>
          <w:b w:val="false"/>
          <w:bCs w:val="false"/>
          <w:i w:val="false"/>
          <w:iCs w:val="false"/>
          <w:sz w:val="21"/>
          <w:szCs w:val="21"/>
        </w:rPr>
        <w:t xml:space="preserve">This document defines the rules, controls and operating procedures for an agentic Artificial Intelligence (AI) system that validates the data flow received from, or exchanged with, a specific client, and that autonomously manages the correction cycle when a validation fails. The system is designed to:</w:t>
      </w:r>
    </w:p>
    <w:p>
      <w:pPr>
        <w:pStyle w:val="ListParagraph"/>
        <w:numPr>
          <w:ilvl w:val="0"/>
          <w:numId w:val="2"/>
        </w:numPr>
        <w:spacing w:after="70" w:line="268"/>
      </w:pPr>
      <w:r>
        <w:rPr>
          <w:rFonts w:ascii="Calibri" w:cs="Calibri" w:eastAsia="Calibri" w:hAnsi="Calibri"/>
          <w:sz w:val="21"/>
          <w:szCs w:val="21"/>
        </w:rPr>
        <w:t xml:space="preserve">verify each incoming record and document against the five validation dimensions — semantic, format, structural/pattern (mimetic), content and consistency;</w:t>
      </w:r>
    </w:p>
    <w:p>
      <w:pPr>
        <w:pStyle w:val="ListParagraph"/>
        <w:numPr>
          <w:ilvl w:val="0"/>
          <w:numId w:val="2"/>
        </w:numPr>
        <w:spacing w:after="70" w:line="268"/>
      </w:pPr>
      <w:r>
        <w:rPr>
          <w:rFonts w:ascii="Calibri" w:cs="Calibri" w:eastAsia="Calibri" w:hAnsi="Calibri"/>
          <w:sz w:val="21"/>
          <w:szCs w:val="21"/>
        </w:rPr>
        <w:t xml:space="preserve">detect and classify anomalies, isolate their probable root cause, and assign a severity and a remediation path;</w:t>
      </w:r>
    </w:p>
    <w:p>
      <w:pPr>
        <w:pStyle w:val="ListParagraph"/>
        <w:numPr>
          <w:ilvl w:val="0"/>
          <w:numId w:val="2"/>
        </w:numPr>
        <w:spacing w:after="70" w:line="268"/>
      </w:pPr>
      <w:r>
        <w:rPr>
          <w:rFonts w:ascii="Calibri" w:cs="Calibri" w:eastAsia="Calibri" w:hAnsi="Calibri"/>
          <w:sz w:val="21"/>
          <w:szCs w:val="21"/>
        </w:rPr>
        <w:t xml:space="preserve">act autonomously within defined limits — correcting trivial defects, or generating a structured request to the client for the missing document or the required change (for example, a mismatched VAT — IVA — rate on a specific cost line); and</w:t>
      </w:r>
    </w:p>
    <w:p>
      <w:pPr>
        <w:pStyle w:val="ListParagraph"/>
        <w:numPr>
          <w:ilvl w:val="0"/>
          <w:numId w:val="2"/>
        </w:numPr>
        <w:spacing w:after="70" w:line="268"/>
      </w:pPr>
      <w:r>
        <w:rPr>
          <w:rFonts w:ascii="Calibri" w:cs="Calibri" w:eastAsia="Calibri" w:hAnsi="Calibri"/>
          <w:sz w:val="21"/>
          <w:szCs w:val="21"/>
        </w:rPr>
        <w:t xml:space="preserve">preserve a complete, auditable trail of every decision, message and outcome, with human oversight where required by policy or law.</w:t>
      </w:r>
    </w:p>
    <w:p>
      <w:pPr>
        <w:pStyle w:val="Heading2"/>
        <w:spacing w:after="100" w:before="240"/>
      </w:pPr>
      <w:r>
        <w:rPr>
          <w:rFonts w:ascii="Calibri" w:cs="Calibri" w:eastAsia="Calibri" w:hAnsi="Calibri"/>
          <w:b/>
          <w:bCs/>
          <w:color w:val="2E75B6"/>
          <w:sz w:val="25"/>
          <w:szCs w:val="25"/>
        </w:rPr>
        <w:t xml:space="preserve">1.2  Scope</w:t>
      </w:r>
    </w:p>
    <w:p>
      <w:pPr>
        <w:spacing w:after="120" w:before="0" w:line="276"/>
      </w:pPr>
      <w:r>
        <w:rPr>
          <w:rFonts w:ascii="Calibri" w:cs="Calibri" w:eastAsia="Calibri" w:hAnsi="Calibri"/>
          <w:b w:val="false"/>
          <w:bCs w:val="false"/>
          <w:i w:val="false"/>
          <w:iCs w:val="false"/>
          <w:sz w:val="21"/>
          <w:szCs w:val="21"/>
        </w:rPr>
        <w:t xml:space="preserve">The rulebook covers the end-to-end validation and remediation of the client data flow, with particular emphasis on accounting and tax documents (invoices, credit notes, cost lines and supporting documentation) processed under Italian and EU law. It applies to structured data (e.g. FatturaPA XML), semi-structured data (e.g. CSV/JSON feeds) and unstructured supporting documents (e.g. PDF attachments).</w:t>
      </w:r>
    </w:p>
    <w:p>
      <w:pPr>
        <w:pStyle w:val="Heading2"/>
        <w:spacing w:after="100" w:before="240"/>
      </w:pPr>
      <w:r>
        <w:rPr>
          <w:rFonts w:ascii="Calibri" w:cs="Calibri" w:eastAsia="Calibri" w:hAnsi="Calibri"/>
          <w:b/>
          <w:bCs/>
          <w:color w:val="2E75B6"/>
          <w:sz w:val="25"/>
          <w:szCs w:val="25"/>
        </w:rPr>
        <w:t xml:space="preserve">1.3  Out of scope</w:t>
      </w:r>
    </w:p>
    <w:p>
      <w:pPr>
        <w:pStyle w:val="ListParagraph"/>
        <w:numPr>
          <w:ilvl w:val="0"/>
          <w:numId w:val="2"/>
        </w:numPr>
        <w:spacing w:after="70" w:line="268"/>
      </w:pPr>
      <w:r>
        <w:rPr>
          <w:rFonts w:ascii="Calibri" w:cs="Calibri" w:eastAsia="Calibri" w:hAnsi="Calibri"/>
          <w:sz w:val="21"/>
          <w:szCs w:val="21"/>
        </w:rPr>
        <w:t xml:space="preserve">Definitive tax or legal advice: the system applies codified rules and flags exceptions; it does not replace a qualified tax advisor for interpretative questions (e.g. formal rulings / interpelli).</w:t>
      </w:r>
    </w:p>
    <w:p>
      <w:pPr>
        <w:pStyle w:val="ListParagraph"/>
        <w:numPr>
          <w:ilvl w:val="0"/>
          <w:numId w:val="2"/>
        </w:numPr>
        <w:spacing w:after="70" w:line="268"/>
      </w:pPr>
      <w:r>
        <w:rPr>
          <w:rFonts w:ascii="Calibri" w:cs="Calibri" w:eastAsia="Calibri" w:hAnsi="Calibri"/>
          <w:sz w:val="21"/>
          <w:szCs w:val="21"/>
        </w:rPr>
        <w:t xml:space="preserve">Filing of tax returns or transmission of invoices to the Sistema di Interscambio (SdI); the system validates and prepares, it does not substitute the statutory filing channel unless separately authorised.</w:t>
      </w:r>
    </w:p>
    <w:p>
      <w:pPr>
        <w:pStyle w:val="Heading1"/>
        <w:spacing w:after="140" w:before="320"/>
      </w:pPr>
      <w:r>
        <w:rPr>
          <w:rFonts w:ascii="Calibri" w:cs="Calibri" w:eastAsia="Calibri" w:hAnsi="Calibri"/>
          <w:b/>
          <w:bCs/>
          <w:color w:val="1F3864"/>
          <w:sz w:val="30"/>
          <w:szCs w:val="30"/>
        </w:rPr>
        <w:t xml:space="preserve">2.  Definitions and glossary</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00"/>
      </w:tblGrid>
      <w:tr>
        <w:trPr>
          <w:tblHeader/>
        </w:trPr>
        <w:tc>
          <w:tcPr>
            <w:tcW w:type="dxa" w:w="2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Term</w:t>
            </w:r>
          </w:p>
        </w:tc>
        <w:tc>
          <w:tcPr>
            <w:tcW w:type="dxa" w:w="68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Definition</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Agentic AI</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An AI system able to plan and execute a multi-step workflow, invoke tools, take bounded actions and request information, under supervision and within policy limits.</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Data flow</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stream of records, files and documents received from or sent to the client for processing.</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Record</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 single logical unit of data (e.g. an invoice, a cost line, a master-data entry).</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Validation dimension</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One of the five control layers: semantic, format, structural/mimetic, content, consistency.</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Anomaly</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Any deviation from an applicable rule detected during validation.</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Severity</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classification of an anomaly (Blocking, Major, Minor, Informational) driving the remediation path.</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Remediation</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action taken to resolve an anomaly (auto-fix, client request, human escalation).</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IVA / VAT</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Imposta sul Valore Aggiunto — Italian Value Added Tax.</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SdI</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Sistema di Interscambio — the exchange system of the Italian Revenue Agency for electronic invoices.</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FatturaPA</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Italian electronic-invoice XML format transmitted through the SdI.</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Natura code</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VAT "nature" code (N1–N7 with sub-codes) required when VAT is not applied (0%).</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Scarto</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Rejection notice returned by the SdI when an invoice fails its automatic controls.</w:t>
            </w:r>
          </w:p>
        </w:tc>
      </w:tr>
      <w:tr>
        <w:tc>
          <w:tcPr>
            <w:tcW w:type="dxa" w:w="2600"/>
            <w:tcMar>
              <w:top w:type="dxa" w:w="60"/>
              <w:left w:type="dxa" w:w="90"/>
              <w:bottom w:type="dxa" w:w="60"/>
              <w:right w:type="dxa" w:w="90"/>
            </w:tcMar>
          </w:tcPr>
          <w:p>
            <w:pPr>
              <w:spacing w:after="20" w:line="252"/>
            </w:pPr>
            <w:r>
              <w:rPr>
                <w:rFonts w:ascii="Calibri" w:cs="Calibri" w:eastAsia="Calibri" w:hAnsi="Calibri"/>
                <w:b/>
                <w:bCs/>
                <w:sz w:val="20"/>
                <w:szCs w:val="20"/>
              </w:rPr>
              <w:t xml:space="preserve">HITL</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Human-in-the-loop — mandatory human review/approval before a defined action.</w:t>
            </w:r>
          </w:p>
        </w:tc>
      </w:tr>
    </w:tbl>
    <w:p>
      <w:pPr>
        <w:pStyle w:val="Heading1"/>
        <w:spacing w:after="140" w:before="320"/>
      </w:pPr>
      <w:r>
        <w:rPr>
          <w:rFonts w:ascii="Calibri" w:cs="Calibri" w:eastAsia="Calibri" w:hAnsi="Calibri"/>
          <w:b/>
          <w:bCs/>
          <w:color w:val="1F3864"/>
          <w:sz w:val="30"/>
          <w:szCs w:val="30"/>
        </w:rPr>
        <w:t xml:space="preserve">3.  System overview and processing pipeline</w:t>
      </w:r>
    </w:p>
    <w:p>
      <w:pPr>
        <w:spacing w:after="120" w:before="0" w:line="276"/>
      </w:pPr>
      <w:r>
        <w:rPr>
          <w:rFonts w:ascii="Calibri" w:cs="Calibri" w:eastAsia="Calibri" w:hAnsi="Calibri"/>
          <w:b w:val="false"/>
          <w:bCs w:val="false"/>
          <w:i w:val="false"/>
          <w:iCs w:val="false"/>
          <w:sz w:val="21"/>
          <w:szCs w:val="21"/>
        </w:rPr>
        <w:t xml:space="preserve">The system operates as a linear pipeline with feedback loops. Each stage is instrumented and logged.</w:t>
      </w:r>
    </w:p>
    <w:p>
      <w:pPr>
        <w:pStyle w:val="ListParagraph"/>
        <w:numPr>
          <w:ilvl w:val="0"/>
          <w:numId w:val="3"/>
        </w:numPr>
        <w:spacing w:after="70" w:line="268"/>
      </w:pPr>
      <w:r>
        <w:rPr>
          <w:rFonts w:ascii="Calibri" w:cs="Calibri" w:eastAsia="Calibri" w:hAnsi="Calibri"/>
          <w:b/>
          <w:bCs/>
          <w:sz w:val="21"/>
          <w:szCs w:val="21"/>
        </w:rPr>
        <w:t xml:space="preserve">Ingestion. </w:t>
      </w:r>
      <w:r>
        <w:rPr>
          <w:rFonts w:ascii="Calibri" w:cs="Calibri" w:eastAsia="Calibri" w:hAnsi="Calibri"/>
          <w:sz w:val="21"/>
          <w:szCs w:val="21"/>
        </w:rPr>
        <w:t xml:space="preserve">Receive the file/record, capture metadata (source, timestamp, channel, client ID), compute a content hash and register the item.</w:t>
      </w:r>
    </w:p>
    <w:p>
      <w:pPr>
        <w:pStyle w:val="ListParagraph"/>
        <w:numPr>
          <w:ilvl w:val="0"/>
          <w:numId w:val="3"/>
        </w:numPr>
        <w:spacing w:after="70" w:line="268"/>
      </w:pPr>
      <w:r>
        <w:rPr>
          <w:rFonts w:ascii="Calibri" w:cs="Calibri" w:eastAsia="Calibri" w:hAnsi="Calibri"/>
          <w:b/>
          <w:bCs/>
          <w:sz w:val="21"/>
          <w:szCs w:val="21"/>
        </w:rPr>
        <w:t xml:space="preserve">Normalisation. </w:t>
      </w:r>
      <w:r>
        <w:rPr>
          <w:rFonts w:ascii="Calibri" w:cs="Calibri" w:eastAsia="Calibri" w:hAnsi="Calibri"/>
          <w:sz w:val="21"/>
          <w:szCs w:val="21"/>
        </w:rPr>
        <w:t xml:space="preserve">Convert to a canonical internal model; harmonise encodings, date/number formats, currency and units.</w:t>
      </w:r>
    </w:p>
    <w:p>
      <w:pPr>
        <w:pStyle w:val="ListParagraph"/>
        <w:numPr>
          <w:ilvl w:val="0"/>
          <w:numId w:val="3"/>
        </w:numPr>
        <w:spacing w:after="70" w:line="268"/>
      </w:pPr>
      <w:r>
        <w:rPr>
          <w:rFonts w:ascii="Calibri" w:cs="Calibri" w:eastAsia="Calibri" w:hAnsi="Calibri"/>
          <w:b/>
          <w:bCs/>
          <w:sz w:val="21"/>
          <w:szCs w:val="21"/>
        </w:rPr>
        <w:t xml:space="preserve">Validation. </w:t>
      </w:r>
      <w:r>
        <w:rPr>
          <w:rFonts w:ascii="Calibri" w:cs="Calibri" w:eastAsia="Calibri" w:hAnsi="Calibri"/>
          <w:sz w:val="21"/>
          <w:szCs w:val="21"/>
        </w:rPr>
        <w:t xml:space="preserve">Run the five validation dimensions in order (Section 5). Each rule returns pass / fail with an anomaly code.</w:t>
      </w:r>
    </w:p>
    <w:p>
      <w:pPr>
        <w:pStyle w:val="ListParagraph"/>
        <w:numPr>
          <w:ilvl w:val="0"/>
          <w:numId w:val="3"/>
        </w:numPr>
        <w:spacing w:after="70" w:line="268"/>
      </w:pPr>
      <w:r>
        <w:rPr>
          <w:rFonts w:ascii="Calibri" w:cs="Calibri" w:eastAsia="Calibri" w:hAnsi="Calibri"/>
          <w:b/>
          <w:bCs/>
          <w:sz w:val="21"/>
          <w:szCs w:val="21"/>
        </w:rPr>
        <w:t xml:space="preserve">Classification. </w:t>
      </w:r>
      <w:r>
        <w:rPr>
          <w:rFonts w:ascii="Calibri" w:cs="Calibri" w:eastAsia="Calibri" w:hAnsi="Calibri"/>
          <w:sz w:val="21"/>
          <w:szCs w:val="21"/>
        </w:rPr>
        <w:t xml:space="preserve">Aggregate anomalies, assign severity, infer the probable root cause and select the remediation path (Section 7).</w:t>
      </w:r>
    </w:p>
    <w:p>
      <w:pPr>
        <w:pStyle w:val="ListParagraph"/>
        <w:numPr>
          <w:ilvl w:val="0"/>
          <w:numId w:val="3"/>
        </w:numPr>
        <w:spacing w:after="70" w:line="268"/>
      </w:pPr>
      <w:r>
        <w:rPr>
          <w:rFonts w:ascii="Calibri" w:cs="Calibri" w:eastAsia="Calibri" w:hAnsi="Calibri"/>
          <w:b/>
          <w:bCs/>
          <w:sz w:val="21"/>
          <w:szCs w:val="21"/>
        </w:rPr>
        <w:t xml:space="preserve">Action. </w:t>
      </w:r>
      <w:r>
        <w:rPr>
          <w:rFonts w:ascii="Calibri" w:cs="Calibri" w:eastAsia="Calibri" w:hAnsi="Calibri"/>
          <w:sz w:val="21"/>
          <w:szCs w:val="21"/>
        </w:rPr>
        <w:t xml:space="preserve">Auto-correct where allowed; otherwise generate a client request or a human escalation.</w:t>
      </w:r>
    </w:p>
    <w:p>
      <w:pPr>
        <w:pStyle w:val="ListParagraph"/>
        <w:numPr>
          <w:ilvl w:val="0"/>
          <w:numId w:val="3"/>
        </w:numPr>
        <w:spacing w:after="70" w:line="268"/>
      </w:pPr>
      <w:r>
        <w:rPr>
          <w:rFonts w:ascii="Calibri" w:cs="Calibri" w:eastAsia="Calibri" w:hAnsi="Calibri"/>
          <w:b/>
          <w:bCs/>
          <w:sz w:val="21"/>
          <w:szCs w:val="21"/>
        </w:rPr>
        <w:t xml:space="preserve">Client interaction. </w:t>
      </w:r>
      <w:r>
        <w:rPr>
          <w:rFonts w:ascii="Calibri" w:cs="Calibri" w:eastAsia="Calibri" w:hAnsi="Calibri"/>
          <w:sz w:val="21"/>
          <w:szCs w:val="21"/>
        </w:rPr>
        <w:t xml:space="preserve">Send the request using an approved template, track responses and deadlines, and re-validate returned material (Section 8).</w:t>
      </w:r>
    </w:p>
    <w:p>
      <w:pPr>
        <w:pStyle w:val="ListParagraph"/>
        <w:numPr>
          <w:ilvl w:val="0"/>
          <w:numId w:val="3"/>
        </w:numPr>
        <w:spacing w:after="70" w:line="268"/>
      </w:pPr>
      <w:r>
        <w:rPr>
          <w:rFonts w:ascii="Calibri" w:cs="Calibri" w:eastAsia="Calibri" w:hAnsi="Calibri"/>
          <w:b/>
          <w:bCs/>
          <w:sz w:val="21"/>
          <w:szCs w:val="21"/>
        </w:rPr>
        <w:t xml:space="preserve">Closure &amp; audit. </w:t>
      </w:r>
      <w:r>
        <w:rPr>
          <w:rFonts w:ascii="Calibri" w:cs="Calibri" w:eastAsia="Calibri" w:hAnsi="Calibri"/>
          <w:sz w:val="21"/>
          <w:szCs w:val="21"/>
        </w:rPr>
        <w:t xml:space="preserve">Mark the record valid/rejected, archive all artefacts and evidence, and update metrics (Sections 11–12).</w:t>
      </w:r>
    </w:p>
    <w:p>
      <w:pPr>
        <w:spacing w:after="60"/>
      </w:pPr>
      <w:r>
        <w:rPr>
          <w:rFonts w:ascii="Calibri" w:cs="Calibri" w:eastAsia="Calibri" w:hAnsi="Calibri"/>
        </w:rPr>
        <w:t xml:space="preserve"/>
      </w:r>
    </w:p>
    <w:p>
      <w:pPr>
        <w:spacing w:after="120" w:before="0" w:line="276"/>
      </w:pPr>
      <w:r>
        <w:rPr>
          <w:rFonts w:ascii="Calibri" w:cs="Calibri" w:eastAsia="Calibri" w:hAnsi="Calibri"/>
          <w:b/>
          <w:bCs/>
          <w:color w:val="1F3864"/>
          <w:sz w:val="21"/>
          <w:szCs w:val="21"/>
        </w:rPr>
        <w:t xml:space="preserve">Design principle: </w:t>
      </w:r>
      <w:r>
        <w:rPr>
          <w:rFonts w:ascii="Calibri" w:cs="Calibri" w:eastAsia="Calibri" w:hAnsi="Calibri"/>
          <w:sz w:val="21"/>
          <w:szCs w:val="21"/>
        </w:rPr>
        <w:t xml:space="preserve">fail closed. A record that has not passed all Blocking controls is never treated as valid. The system prefers requesting a clarification over silently guessing.</w:t>
      </w:r>
    </w:p>
    <w:p>
      <w:pPr>
        <w:pStyle w:val="Heading1"/>
        <w:spacing w:after="140" w:before="320"/>
      </w:pPr>
      <w:r>
        <w:rPr>
          <w:rFonts w:ascii="Calibri" w:cs="Calibri" w:eastAsia="Calibri" w:hAnsi="Calibri"/>
          <w:b/>
          <w:bCs/>
          <w:color w:val="1F3864"/>
          <w:sz w:val="30"/>
          <w:szCs w:val="30"/>
        </w:rPr>
        <w:t xml:space="preserve">4.  Client-specific configuration profile</w:t>
      </w:r>
    </w:p>
    <w:p>
      <w:pPr>
        <w:spacing w:after="120" w:before="0" w:line="276"/>
      </w:pPr>
      <w:r>
        <w:rPr>
          <w:rFonts w:ascii="Calibri" w:cs="Calibri" w:eastAsia="Calibri" w:hAnsi="Calibri"/>
          <w:b w:val="false"/>
          <w:bCs w:val="false"/>
          <w:i w:val="false"/>
          <w:iCs w:val="false"/>
          <w:sz w:val="21"/>
          <w:szCs w:val="21"/>
        </w:rPr>
        <w:t xml:space="preserve">The rules in this document are parameterised per client through a configuration profile. The profile is versioned and must be signed off before go-live.</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2900"/>
        <w:gridCol w:w="6500"/>
      </w:tblGrid>
      <w:tr>
        <w:trPr>
          <w:tblHeader/>
        </w:trPr>
        <w:tc>
          <w:tcPr>
            <w:tcW w:type="dxa" w:w="29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Parameter</w:t>
            </w:r>
          </w:p>
        </w:tc>
        <w:tc>
          <w:tcPr>
            <w:tcW w:type="dxa" w:w="65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Description / example</w:t>
            </w:r>
          </w:p>
        </w:tc>
      </w:tr>
      <w:tr>
        <w:tc>
          <w:tcPr>
            <w:tcW w:type="dxa" w:w="2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Client identity</w:t>
            </w:r>
          </w:p>
        </w:tc>
        <w:tc>
          <w:tcPr>
            <w:tcW w:type="dxa" w:w="6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Legal name, VAT number (Partita IVA), tax code (Codice Fiscale), whether part of a VAT Group (Gruppo IVA).</w:t>
            </w:r>
          </w:p>
        </w:tc>
      </w:tr>
      <w:tr>
        <w:tc>
          <w:tcPr>
            <w:tcW w:type="dxa" w:w="2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Tax regime</w:t>
            </w:r>
          </w:p>
        </w:tc>
        <w:tc>
          <w:tcPr>
            <w:tcW w:type="dxa" w:w="6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Ordinary; flat-rate (regime forfettario, L. 190/2014); cross-border franchise regime (RF20); split-payment counterpart (art. 17-ter).</w:t>
            </w:r>
          </w:p>
        </w:tc>
      </w:tr>
      <w:tr>
        <w:tc>
          <w:tcPr>
            <w:tcW w:type="dxa" w:w="2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Applicable VAT rates</w:t>
            </w:r>
          </w:p>
        </w:tc>
        <w:tc>
          <w:tcPr>
            <w:tcW w:type="dxa" w:w="6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Allowed rates and the goods/service categories mapped to each (see Section 6.2).</w:t>
            </w:r>
          </w:p>
        </w:tc>
      </w:tr>
      <w:tr>
        <w:tc>
          <w:tcPr>
            <w:tcW w:type="dxa" w:w="2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Cost-line taxonomy</w:t>
            </w:r>
          </w:p>
        </w:tc>
        <w:tc>
          <w:tcPr>
            <w:tcW w:type="dxa" w:w="6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Chart of accounts / cost categories and the VAT rate + Natura expected for each category.</w:t>
            </w:r>
          </w:p>
        </w:tc>
      </w:tr>
      <w:tr>
        <w:tc>
          <w:tcPr>
            <w:tcW w:type="dxa" w:w="2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Mandatory documents</w:t>
            </w:r>
          </w:p>
        </w:tc>
        <w:tc>
          <w:tcPr>
            <w:tcW w:type="dxa" w:w="6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Per document type: required attachments and evidence (e.g. declaration of intent for N3.5, transport proof for intra-EU).</w:t>
            </w:r>
          </w:p>
        </w:tc>
      </w:tr>
      <w:tr>
        <w:tc>
          <w:tcPr>
            <w:tcW w:type="dxa" w:w="2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Tolerances</w:t>
            </w:r>
          </w:p>
        </w:tc>
        <w:tc>
          <w:tcPr>
            <w:tcW w:type="dxa" w:w="6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Rounding tolerance (e.g. €0.01 per line, €0.02 per document); acceptable date windows.</w:t>
            </w:r>
          </w:p>
        </w:tc>
      </w:tr>
      <w:tr>
        <w:tc>
          <w:tcPr>
            <w:tcW w:type="dxa" w:w="2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Channels</w:t>
            </w:r>
          </w:p>
        </w:tc>
        <w:tc>
          <w:tcPr>
            <w:tcW w:type="dxa" w:w="6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Approved communication channels and recipients for client requests.</w:t>
            </w:r>
          </w:p>
        </w:tc>
      </w:tr>
      <w:tr>
        <w:tc>
          <w:tcPr>
            <w:tcW w:type="dxa" w:w="2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SLA &amp; deadlines</w:t>
            </w:r>
          </w:p>
        </w:tc>
        <w:tc>
          <w:tcPr>
            <w:tcW w:type="dxa" w:w="6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Response deadlines for client requests; internal processing SLA.</w:t>
            </w:r>
          </w:p>
        </w:tc>
      </w:tr>
      <w:tr>
        <w:tc>
          <w:tcPr>
            <w:tcW w:type="dxa" w:w="2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Escalation matrix</w:t>
            </w:r>
          </w:p>
        </w:tc>
        <w:tc>
          <w:tcPr>
            <w:tcW w:type="dxa" w:w="6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Who is notified for each severity and each unresolved deadline.</w:t>
            </w:r>
          </w:p>
        </w:tc>
      </w:tr>
      <w:tr>
        <w:tc>
          <w:tcPr>
            <w:tcW w:type="dxa" w:w="2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Autonomy limits</w:t>
            </w:r>
          </w:p>
        </w:tc>
        <w:tc>
          <w:tcPr>
            <w:tcW w:type="dxa" w:w="6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Which anomalies may be auto-corrected without human approval.</w:t>
            </w:r>
          </w:p>
        </w:tc>
      </w:tr>
    </w:tbl>
    <w:p>
      <w:pPr>
        <w:pStyle w:val="Heading1"/>
        <w:spacing w:after="140" w:before="320"/>
      </w:pPr>
      <w:r>
        <w:rPr>
          <w:rFonts w:ascii="Calibri" w:cs="Calibri" w:eastAsia="Calibri" w:hAnsi="Calibri"/>
          <w:b/>
          <w:bCs/>
          <w:color w:val="1F3864"/>
          <w:sz w:val="30"/>
          <w:szCs w:val="30"/>
        </w:rPr>
        <w:t xml:space="preserve">5.  The five validation dimensions</w:t>
      </w:r>
    </w:p>
    <w:p>
      <w:pPr>
        <w:spacing w:after="120" w:before="0" w:line="276"/>
      </w:pPr>
      <w:r>
        <w:rPr>
          <w:rFonts w:ascii="Calibri" w:cs="Calibri" w:eastAsia="Calibri" w:hAnsi="Calibri"/>
          <w:b w:val="false"/>
          <w:bCs w:val="false"/>
          <w:i w:val="false"/>
          <w:iCs w:val="false"/>
          <w:sz w:val="21"/>
          <w:szCs w:val="21"/>
        </w:rPr>
        <w:t xml:space="preserve">Validation is layered. Earlier layers are cheaper and gate the later ones: a record that fails format validation is not semantically evaluated until the format defect is cleared. All applicable rules for each layer are stated below; the tax-specific business rules are consolidated in Section 6.</w:t>
      </w:r>
    </w:p>
    <w:p>
      <w:pPr>
        <w:pStyle w:val="Heading2"/>
        <w:spacing w:after="100" w:before="240"/>
      </w:pPr>
      <w:r>
        <w:rPr>
          <w:rFonts w:ascii="Calibri" w:cs="Calibri" w:eastAsia="Calibri" w:hAnsi="Calibri"/>
          <w:b/>
          <w:bCs/>
          <w:color w:val="2E75B6"/>
          <w:sz w:val="25"/>
          <w:szCs w:val="25"/>
        </w:rPr>
        <w:t xml:space="preserve">5.1  Format validation</w:t>
      </w:r>
    </w:p>
    <w:p>
      <w:pPr>
        <w:spacing w:after="120" w:before="0" w:line="276"/>
      </w:pPr>
      <w:r>
        <w:rPr>
          <w:rFonts w:ascii="Calibri" w:cs="Calibri" w:eastAsia="Calibri" w:hAnsi="Calibri"/>
          <w:b w:val="false"/>
          <w:bCs w:val="false"/>
          <w:i w:val="false"/>
          <w:iCs w:val="false"/>
          <w:sz w:val="21"/>
          <w:szCs w:val="21"/>
        </w:rPr>
        <w:t xml:space="preserve">Confirms that the data is technically well-formed and conforms to the required file and field format.</w:t>
      </w:r>
    </w:p>
    <w:p>
      <w:pPr>
        <w:pStyle w:val="ListParagraph"/>
        <w:numPr>
          <w:ilvl w:val="0"/>
          <w:numId w:val="2"/>
        </w:numPr>
        <w:spacing w:after="70" w:line="268"/>
      </w:pPr>
      <w:r>
        <w:rPr>
          <w:rFonts w:ascii="Calibri" w:cs="Calibri" w:eastAsia="Calibri" w:hAnsi="Calibri"/>
          <w:sz w:val="21"/>
          <w:szCs w:val="21"/>
        </w:rPr>
        <w:t xml:space="preserve">The file opens and parses without error; character encoding is UTF-8; the file is not empty or truncated.</w:t>
      </w:r>
    </w:p>
    <w:p>
      <w:pPr>
        <w:pStyle w:val="ListParagraph"/>
        <w:numPr>
          <w:ilvl w:val="0"/>
          <w:numId w:val="2"/>
        </w:numPr>
        <w:spacing w:after="70" w:line="268"/>
      </w:pPr>
      <w:r>
        <w:rPr>
          <w:rFonts w:ascii="Calibri" w:cs="Calibri" w:eastAsia="Calibri" w:hAnsi="Calibri"/>
          <w:sz w:val="21"/>
          <w:szCs w:val="21"/>
        </w:rPr>
        <w:t xml:space="preserve">For FatturaPA, the XML validates against the official XSD schema (currently v1.2.3) and against the technical specifications currently enforced by the SdI (Specifiche Tecniche v1.9.1, applicable from 15 May 2026). A file built on an obsolete tracciato is rejected.</w:t>
      </w:r>
    </w:p>
    <w:p>
      <w:pPr>
        <w:pStyle w:val="ListParagraph"/>
        <w:numPr>
          <w:ilvl w:val="0"/>
          <w:numId w:val="2"/>
        </w:numPr>
        <w:spacing w:after="70" w:line="268"/>
      </w:pPr>
      <w:r>
        <w:rPr>
          <w:rFonts w:ascii="Calibri" w:cs="Calibri" w:eastAsia="Calibri" w:hAnsi="Calibri"/>
          <w:sz w:val="21"/>
          <w:szCs w:val="21"/>
        </w:rPr>
        <w:t xml:space="preserve">Field data types match (numeric fields contain numbers, dates are valid calendar dates in the required pattern, e.g. YYYY-MM-DD).</w:t>
      </w:r>
    </w:p>
    <w:p>
      <w:pPr>
        <w:pStyle w:val="ListParagraph"/>
        <w:numPr>
          <w:ilvl w:val="0"/>
          <w:numId w:val="2"/>
        </w:numPr>
        <w:spacing w:after="70" w:line="268"/>
      </w:pPr>
      <w:r>
        <w:rPr>
          <w:rFonts w:ascii="Calibri" w:cs="Calibri" w:eastAsia="Calibri" w:hAnsi="Calibri"/>
          <w:sz w:val="21"/>
          <w:szCs w:val="21"/>
        </w:rPr>
        <w:t xml:space="preserve">Identifiers are well-formed: Partita IVA (11 digits, valid check digit), Codice Fiscale (formal validity), IBAN, recipient code (Codice Destinatario: 7 characters for B2B, 6 for public administration; "0000000" allowed only where a PEC address is provided).</w:t>
      </w:r>
    </w:p>
    <w:p>
      <w:pPr>
        <w:pStyle w:val="ListParagraph"/>
        <w:numPr>
          <w:ilvl w:val="0"/>
          <w:numId w:val="2"/>
        </w:numPr>
        <w:spacing w:after="70" w:line="268"/>
      </w:pPr>
      <w:r>
        <w:rPr>
          <w:rFonts w:ascii="Calibri" w:cs="Calibri" w:eastAsia="Calibri" w:hAnsi="Calibri"/>
          <w:sz w:val="21"/>
          <w:szCs w:val="21"/>
        </w:rPr>
        <w:t xml:space="preserve">Where an electronic signature is required, it is present, of an accepted type (CAdES-BES / .p7m or XAdES) and valid; an invalid signature is a Blocking defect.</w:t>
      </w:r>
    </w:p>
    <w:p>
      <w:pPr>
        <w:pStyle w:val="ListParagraph"/>
        <w:numPr>
          <w:ilvl w:val="0"/>
          <w:numId w:val="2"/>
        </w:numPr>
        <w:spacing w:after="70" w:line="268"/>
      </w:pPr>
      <w:r>
        <w:rPr>
          <w:rFonts w:ascii="Calibri" w:cs="Calibri" w:eastAsia="Calibri" w:hAnsi="Calibri"/>
          <w:sz w:val="21"/>
          <w:szCs w:val="21"/>
        </w:rPr>
        <w:t xml:space="preserve">The file name follows the required naming convention and the item is not a duplicate (same issuer, year and number).</w:t>
      </w:r>
    </w:p>
    <w:p>
      <w:pPr>
        <w:pStyle w:val="Heading2"/>
        <w:spacing w:after="100" w:before="240"/>
      </w:pPr>
      <w:r>
        <w:rPr>
          <w:rFonts w:ascii="Calibri" w:cs="Calibri" w:eastAsia="Calibri" w:hAnsi="Calibri"/>
          <w:b/>
          <w:bCs/>
          <w:color w:val="2E75B6"/>
          <w:sz w:val="25"/>
          <w:szCs w:val="25"/>
        </w:rPr>
        <w:t xml:space="preserve">5.2  Structural / pattern (mimetic) validation</w:t>
      </w:r>
    </w:p>
    <w:p>
      <w:pPr>
        <w:spacing w:after="120" w:before="0" w:line="276"/>
      </w:pPr>
      <w:r>
        <w:rPr>
          <w:rFonts w:ascii="Calibri" w:cs="Calibri" w:eastAsia="Calibri" w:hAnsi="Calibri"/>
          <w:b w:val="false"/>
          <w:bCs w:val="false"/>
          <w:i w:val="false"/>
          <w:iCs w:val="false"/>
          <w:sz w:val="21"/>
          <w:szCs w:val="21"/>
        </w:rPr>
        <w:t xml:space="preserve">Confirms that the record "looks like" what it must be — i.e. it conforms to the expected template, layout, cardinality and field patterns for its document type.</w:t>
      </w:r>
    </w:p>
    <w:p>
      <w:pPr>
        <w:pStyle w:val="ListParagraph"/>
        <w:numPr>
          <w:ilvl w:val="0"/>
          <w:numId w:val="2"/>
        </w:numPr>
        <w:spacing w:after="70" w:line="268"/>
      </w:pPr>
      <w:r>
        <w:rPr>
          <w:rFonts w:ascii="Calibri" w:cs="Calibri" w:eastAsia="Calibri" w:hAnsi="Calibri"/>
          <w:sz w:val="21"/>
          <w:szCs w:val="21"/>
        </w:rPr>
        <w:t xml:space="preserve">The document type is recognised and mapped to a known template (e.g. FatturaPA document-type codes TD01–TD29; TD01 invoice, TD04 credit note, TD16/TD17/TD18/TD19 reverse-charge integration/self-invoice, TD20 self-invoice for omitted invoice, TD24 deferred invoice).</w:t>
      </w:r>
    </w:p>
    <w:p>
      <w:pPr>
        <w:pStyle w:val="ListParagraph"/>
        <w:numPr>
          <w:ilvl w:val="0"/>
          <w:numId w:val="2"/>
        </w:numPr>
        <w:spacing w:after="70" w:line="268"/>
      </w:pPr>
      <w:r>
        <w:rPr>
          <w:rFonts w:ascii="Calibri" w:cs="Calibri" w:eastAsia="Calibri" w:hAnsi="Calibri"/>
          <w:sz w:val="21"/>
          <w:szCs w:val="21"/>
        </w:rPr>
        <w:t xml:space="preserve">All mandatory blocks and fields for that template are present, and repeated blocks respect their cardinality (e.g. at least one line item; each line has a unique line number).</w:t>
      </w:r>
    </w:p>
    <w:p>
      <w:pPr>
        <w:pStyle w:val="ListParagraph"/>
        <w:numPr>
          <w:ilvl w:val="0"/>
          <w:numId w:val="2"/>
        </w:numPr>
        <w:spacing w:after="70" w:line="268"/>
      </w:pPr>
      <w:r>
        <w:rPr>
          <w:rFonts w:ascii="Calibri" w:cs="Calibri" w:eastAsia="Calibri" w:hAnsi="Calibri"/>
          <w:sz w:val="21"/>
          <w:szCs w:val="21"/>
        </w:rPr>
        <w:t xml:space="preserve">Field patterns match the expected shape (regular expressions for codes, prefixes, progressive numbering, reference formats).</w:t>
      </w:r>
    </w:p>
    <w:p>
      <w:pPr>
        <w:pStyle w:val="ListParagraph"/>
        <w:numPr>
          <w:ilvl w:val="0"/>
          <w:numId w:val="2"/>
        </w:numPr>
        <w:spacing w:after="70" w:line="268"/>
      </w:pPr>
      <w:r>
        <w:rPr>
          <w:rFonts w:ascii="Calibri" w:cs="Calibri" w:eastAsia="Calibri" w:hAnsi="Calibri"/>
          <w:sz w:val="21"/>
          <w:szCs w:val="21"/>
        </w:rPr>
        <w:t xml:space="preserve">The overall structure matches the client-specific layout registered in the configuration profile (expected sections, ordering, headers for tabular feeds).</w:t>
      </w:r>
    </w:p>
    <w:p>
      <w:pPr>
        <w:pStyle w:val="ListParagraph"/>
        <w:numPr>
          <w:ilvl w:val="0"/>
          <w:numId w:val="2"/>
        </w:numPr>
        <w:spacing w:after="70" w:line="268"/>
      </w:pPr>
      <w:r>
        <w:rPr>
          <w:rFonts w:ascii="Calibri" w:cs="Calibri" w:eastAsia="Calibri" w:hAnsi="Calibri"/>
          <w:sz w:val="21"/>
          <w:szCs w:val="21"/>
        </w:rPr>
        <w:t xml:space="preserve">No unexpected or foreign structures are present that would indicate a wrong template, a mixed batch, or a corrupted export.</w:t>
      </w:r>
    </w:p>
    <w:p>
      <w:pPr>
        <w:pStyle w:val="Heading2"/>
        <w:spacing w:after="100" w:before="240"/>
      </w:pPr>
      <w:r>
        <w:rPr>
          <w:rFonts w:ascii="Calibri" w:cs="Calibri" w:eastAsia="Calibri" w:hAnsi="Calibri"/>
          <w:b/>
          <w:bCs/>
          <w:color w:val="2E75B6"/>
          <w:sz w:val="25"/>
          <w:szCs w:val="25"/>
        </w:rPr>
        <w:t xml:space="preserve">5.3  Semantic validation</w:t>
      </w:r>
    </w:p>
    <w:p>
      <w:pPr>
        <w:spacing w:after="120" w:before="0" w:line="276"/>
      </w:pPr>
      <w:r>
        <w:rPr>
          <w:rFonts w:ascii="Calibri" w:cs="Calibri" w:eastAsia="Calibri" w:hAnsi="Calibri"/>
          <w:b w:val="false"/>
          <w:bCs w:val="false"/>
          <w:i w:val="false"/>
          <w:iCs w:val="false"/>
          <w:sz w:val="21"/>
          <w:szCs w:val="21"/>
        </w:rPr>
        <w:t xml:space="preserve">Confirms that each value is meaningful and admissible for its field — that the codes and references resolve to something real and correct in context.</w:t>
      </w:r>
    </w:p>
    <w:p>
      <w:pPr>
        <w:pStyle w:val="ListParagraph"/>
        <w:numPr>
          <w:ilvl w:val="0"/>
          <w:numId w:val="2"/>
        </w:numPr>
        <w:spacing w:after="70" w:line="268"/>
      </w:pPr>
      <w:r>
        <w:rPr>
          <w:rFonts w:ascii="Calibri" w:cs="Calibri" w:eastAsia="Calibri" w:hAnsi="Calibri"/>
          <w:sz w:val="21"/>
          <w:szCs w:val="21"/>
        </w:rPr>
        <w:t xml:space="preserve">Coded values belong to the correct controlled vocabulary: VAT Natura codes are valid and, since 1 January 2021, use the mandatory sub-codes (N2.1/N2.2, N3.1–N3.6, N6.1–N6.9); the generic codes N2, N3, N6 without a sub-code are not admissible.</w:t>
      </w:r>
    </w:p>
    <w:p>
      <w:pPr>
        <w:pStyle w:val="ListParagraph"/>
        <w:numPr>
          <w:ilvl w:val="0"/>
          <w:numId w:val="2"/>
        </w:numPr>
        <w:spacing w:after="70" w:line="268"/>
      </w:pPr>
      <w:r>
        <w:rPr>
          <w:rFonts w:ascii="Calibri" w:cs="Calibri" w:eastAsia="Calibri" w:hAnsi="Calibri"/>
          <w:sz w:val="21"/>
          <w:szCs w:val="21"/>
        </w:rPr>
        <w:t xml:space="preserve">The VAT rate is one of the legally admissible rates (see Section 6.1) and is meaningful for the good/service described.</w:t>
      </w:r>
    </w:p>
    <w:p>
      <w:pPr>
        <w:pStyle w:val="ListParagraph"/>
        <w:numPr>
          <w:ilvl w:val="0"/>
          <w:numId w:val="2"/>
        </w:numPr>
        <w:spacing w:after="70" w:line="268"/>
      </w:pPr>
      <w:r>
        <w:rPr>
          <w:rFonts w:ascii="Calibri" w:cs="Calibri" w:eastAsia="Calibri" w:hAnsi="Calibri"/>
          <w:sz w:val="21"/>
          <w:szCs w:val="21"/>
        </w:rPr>
        <w:t xml:space="preserve">References resolve: currency codes, country codes, unit-of-measure codes, payment-method codes and account codes exist and are active.</w:t>
      </w:r>
    </w:p>
    <w:p>
      <w:pPr>
        <w:pStyle w:val="ListParagraph"/>
        <w:numPr>
          <w:ilvl w:val="0"/>
          <w:numId w:val="2"/>
        </w:numPr>
        <w:spacing w:after="70" w:line="268"/>
      </w:pPr>
      <w:r>
        <w:rPr>
          <w:rFonts w:ascii="Calibri" w:cs="Calibri" w:eastAsia="Calibri" w:hAnsi="Calibri"/>
          <w:sz w:val="21"/>
          <w:szCs w:val="21"/>
        </w:rPr>
        <w:t xml:space="preserve">Counterparties resolve to valid, active registrations (e.g. Partita IVA / VIES for intra-EU operations); for a VAT-Group customer the Codice Fiscale of the individual participant — not that of the Group — must be used.</w:t>
      </w:r>
    </w:p>
    <w:p>
      <w:pPr>
        <w:pStyle w:val="ListParagraph"/>
        <w:numPr>
          <w:ilvl w:val="0"/>
          <w:numId w:val="2"/>
        </w:numPr>
        <w:spacing w:after="70" w:line="268"/>
      </w:pPr>
      <w:r>
        <w:rPr>
          <w:rFonts w:ascii="Calibri" w:cs="Calibri" w:eastAsia="Calibri" w:hAnsi="Calibri"/>
          <w:sz w:val="21"/>
          <w:szCs w:val="21"/>
        </w:rPr>
        <w:t xml:space="preserve">The meaning of a field is consistent with its intended business use (e.g. a "cost" line carries a debit meaning; a credit note carries the correct sign).</w:t>
      </w:r>
    </w:p>
    <w:p>
      <w:pPr>
        <w:pStyle w:val="Heading2"/>
        <w:spacing w:after="100" w:before="240"/>
      </w:pPr>
      <w:r>
        <w:rPr>
          <w:rFonts w:ascii="Calibri" w:cs="Calibri" w:eastAsia="Calibri" w:hAnsi="Calibri"/>
          <w:b/>
          <w:bCs/>
          <w:color w:val="2E75B6"/>
          <w:sz w:val="25"/>
          <w:szCs w:val="25"/>
        </w:rPr>
        <w:t xml:space="preserve">5.4  Content validation</w:t>
      </w:r>
    </w:p>
    <w:p>
      <w:pPr>
        <w:spacing w:after="120" w:before="0" w:line="276"/>
      </w:pPr>
      <w:r>
        <w:rPr>
          <w:rFonts w:ascii="Calibri" w:cs="Calibri" w:eastAsia="Calibri" w:hAnsi="Calibri"/>
          <w:b w:val="false"/>
          <w:bCs w:val="false"/>
          <w:i w:val="false"/>
          <w:iCs w:val="false"/>
          <w:sz w:val="21"/>
          <w:szCs w:val="21"/>
        </w:rPr>
        <w:t xml:space="preserve">Confirms that the required information is actually present, complete and within admissible ranges — including the presence of supporting documentation.</w:t>
      </w:r>
    </w:p>
    <w:p>
      <w:pPr>
        <w:pStyle w:val="ListParagraph"/>
        <w:numPr>
          <w:ilvl w:val="0"/>
          <w:numId w:val="2"/>
        </w:numPr>
        <w:spacing w:after="70" w:line="268"/>
      </w:pPr>
      <w:r>
        <w:rPr>
          <w:rFonts w:ascii="Calibri" w:cs="Calibri" w:eastAsia="Calibri" w:hAnsi="Calibri"/>
          <w:sz w:val="21"/>
          <w:szCs w:val="21"/>
        </w:rPr>
        <w:t xml:space="preserve">All fields mandated by the client profile and by law are populated (no missing required values).</w:t>
      </w:r>
    </w:p>
    <w:p>
      <w:pPr>
        <w:pStyle w:val="ListParagraph"/>
        <w:numPr>
          <w:ilvl w:val="0"/>
          <w:numId w:val="2"/>
        </w:numPr>
        <w:spacing w:after="70" w:line="268"/>
      </w:pPr>
      <w:r>
        <w:rPr>
          <w:rFonts w:ascii="Calibri" w:cs="Calibri" w:eastAsia="Calibri" w:hAnsi="Calibri"/>
          <w:sz w:val="21"/>
          <w:szCs w:val="21"/>
        </w:rPr>
        <w:t xml:space="preserve">Numeric values fall within admissible ranges (no negative quantities on a standard invoice, no zero unit price without justification, amounts within expected magnitude).</w:t>
      </w:r>
    </w:p>
    <w:p>
      <w:pPr>
        <w:pStyle w:val="ListParagraph"/>
        <w:numPr>
          <w:ilvl w:val="0"/>
          <w:numId w:val="2"/>
        </w:numPr>
        <w:spacing w:after="70" w:line="268"/>
      </w:pPr>
      <w:r>
        <w:rPr>
          <w:rFonts w:ascii="Calibri" w:cs="Calibri" w:eastAsia="Calibri" w:hAnsi="Calibri"/>
          <w:sz w:val="21"/>
          <w:szCs w:val="21"/>
        </w:rPr>
        <w:t xml:space="preserve">Required supporting documents are attached and legible (e.g. declaration of intent for a non-taxable supply under N3.5; transport/customs evidence for exports and intra-EU supplies; contract or order reference where the profile requires it).</w:t>
      </w:r>
    </w:p>
    <w:p>
      <w:pPr>
        <w:pStyle w:val="ListParagraph"/>
        <w:numPr>
          <w:ilvl w:val="0"/>
          <w:numId w:val="2"/>
        </w:numPr>
        <w:spacing w:after="70" w:line="268"/>
      </w:pPr>
      <w:r>
        <w:rPr>
          <w:rFonts w:ascii="Calibri" w:cs="Calibri" w:eastAsia="Calibri" w:hAnsi="Calibri"/>
          <w:sz w:val="21"/>
          <w:szCs w:val="21"/>
        </w:rPr>
        <w:t xml:space="preserve">Mandatory legal wording is present where applicable (e.g. "Scissione dei pagamenti" for split payment under art. 17-ter; "Inversione contabile" for reverse charge).</w:t>
      </w:r>
    </w:p>
    <w:p>
      <w:pPr>
        <w:pStyle w:val="ListParagraph"/>
        <w:numPr>
          <w:ilvl w:val="0"/>
          <w:numId w:val="2"/>
        </w:numPr>
        <w:spacing w:after="70" w:line="268"/>
      </w:pPr>
      <w:r>
        <w:rPr>
          <w:rFonts w:ascii="Calibri" w:cs="Calibri" w:eastAsia="Calibri" w:hAnsi="Calibri"/>
          <w:sz w:val="21"/>
          <w:szCs w:val="21"/>
        </w:rPr>
        <w:t xml:space="preserve">Dates are present and plausible (invoice date, supply date, due date), and within the permitted issuing/registration window.</w:t>
      </w:r>
    </w:p>
    <w:p>
      <w:pPr>
        <w:pStyle w:val="Heading2"/>
        <w:spacing w:after="100" w:before="240"/>
      </w:pPr>
      <w:r>
        <w:rPr>
          <w:rFonts w:ascii="Calibri" w:cs="Calibri" w:eastAsia="Calibri" w:hAnsi="Calibri"/>
          <w:b/>
          <w:bCs/>
          <w:color w:val="2E75B6"/>
          <w:sz w:val="25"/>
          <w:szCs w:val="25"/>
        </w:rPr>
        <w:t xml:space="preserve">5.5  Consistency (coherence) validation</w:t>
      </w:r>
    </w:p>
    <w:p>
      <w:pPr>
        <w:spacing w:after="120" w:before="0" w:line="276"/>
      </w:pPr>
      <w:r>
        <w:rPr>
          <w:rFonts w:ascii="Calibri" w:cs="Calibri" w:eastAsia="Calibri" w:hAnsi="Calibri"/>
          <w:b w:val="false"/>
          <w:bCs w:val="false"/>
          <w:i w:val="false"/>
          <w:iCs w:val="false"/>
          <w:sz w:val="21"/>
          <w:szCs w:val="21"/>
        </w:rPr>
        <w:t xml:space="preserve">Confirms that the information is internally coherent and coherent across related records and documents.</w:t>
      </w:r>
    </w:p>
    <w:p>
      <w:pPr>
        <w:pStyle w:val="ListParagraph"/>
        <w:numPr>
          <w:ilvl w:val="0"/>
          <w:numId w:val="2"/>
        </w:numPr>
        <w:spacing w:after="70" w:line="268"/>
      </w:pPr>
      <w:r>
        <w:rPr>
          <w:rFonts w:ascii="Calibri" w:cs="Calibri" w:eastAsia="Calibri" w:hAnsi="Calibri"/>
          <w:sz w:val="21"/>
          <w:szCs w:val="21"/>
        </w:rPr>
        <w:t xml:space="preserve">Arithmetic coherence within a line: line total = quantity × unit price − line discounts (SdI rejects incoherent line totals, e.g. error 00423).</w:t>
      </w:r>
    </w:p>
    <w:p>
      <w:pPr>
        <w:pStyle w:val="ListParagraph"/>
        <w:numPr>
          <w:ilvl w:val="0"/>
          <w:numId w:val="2"/>
        </w:numPr>
        <w:spacing w:after="70" w:line="268"/>
      </w:pPr>
      <w:r>
        <w:rPr>
          <w:rFonts w:ascii="Calibri" w:cs="Calibri" w:eastAsia="Calibri" w:hAnsi="Calibri"/>
          <w:sz w:val="21"/>
          <w:szCs w:val="21"/>
        </w:rPr>
        <w:t xml:space="preserve">Arithmetic coherence within the document: for each VAT rate, tax = taxable base × rate (within tolerance); the sum of line taxable amounts and taxes reconciles to the document totals and to the VAT summary blocks.</w:t>
      </w:r>
    </w:p>
    <w:p>
      <w:pPr>
        <w:pStyle w:val="ListParagraph"/>
        <w:numPr>
          <w:ilvl w:val="0"/>
          <w:numId w:val="2"/>
        </w:numPr>
        <w:spacing w:after="70" w:line="268"/>
      </w:pPr>
      <w:r>
        <w:rPr>
          <w:rFonts w:ascii="Calibri" w:cs="Calibri" w:eastAsia="Calibri" w:hAnsi="Calibri"/>
          <w:sz w:val="21"/>
          <w:szCs w:val="21"/>
        </w:rPr>
        <w:t xml:space="preserve">Rate/Natura mutual exclusivity: a taxable line carries a rate greater than zero and no Natura code; a non-taxable/exempt/excluded/reverse-charge line carries a 0% rate and a valid Natura code. The two are mutually exclusive (missing Natura with 0% VAT → error 00415; Natura present together with a rate &gt; 0 → the reciprocal error).</w:t>
      </w:r>
    </w:p>
    <w:p>
      <w:pPr>
        <w:pStyle w:val="ListParagraph"/>
        <w:numPr>
          <w:ilvl w:val="0"/>
          <w:numId w:val="2"/>
        </w:numPr>
        <w:spacing w:after="70" w:line="268"/>
      </w:pPr>
      <w:r>
        <w:rPr>
          <w:rFonts w:ascii="Calibri" w:cs="Calibri" w:eastAsia="Calibri" w:hAnsi="Calibri"/>
          <w:sz w:val="21"/>
          <w:szCs w:val="21"/>
        </w:rPr>
        <w:t xml:space="preserve">Rate ↔ category coherence: the VAT rate applied matches the rate mapped to the cost category / good / service in the client taxonomy (this is the primary control for the "wrong VAT % on a specific cost line" scenario).</w:t>
      </w:r>
    </w:p>
    <w:p>
      <w:pPr>
        <w:pStyle w:val="ListParagraph"/>
        <w:numPr>
          <w:ilvl w:val="0"/>
          <w:numId w:val="2"/>
        </w:numPr>
        <w:spacing w:after="70" w:line="268"/>
      </w:pPr>
      <w:r>
        <w:rPr>
          <w:rFonts w:ascii="Calibri" w:cs="Calibri" w:eastAsia="Calibri" w:hAnsi="Calibri"/>
          <w:sz w:val="21"/>
          <w:szCs w:val="21"/>
        </w:rPr>
        <w:t xml:space="preserve">Cross-document coherence: a credit note references an existing invoice; totals net correctly; a payment references an existing obligation; master data matches across records.</w:t>
      </w:r>
    </w:p>
    <w:p>
      <w:pPr>
        <w:pStyle w:val="ListParagraph"/>
        <w:numPr>
          <w:ilvl w:val="0"/>
          <w:numId w:val="2"/>
        </w:numPr>
        <w:spacing w:after="70" w:line="268"/>
      </w:pPr>
      <w:r>
        <w:rPr>
          <w:rFonts w:ascii="Calibri" w:cs="Calibri" w:eastAsia="Calibri" w:hAnsi="Calibri"/>
          <w:sz w:val="21"/>
          <w:szCs w:val="21"/>
        </w:rPr>
        <w:t xml:space="preserve">Identity coherence: issuer and recipient are not the same party (SdI error 00428); at least one of Partita IVA / Codice Fiscale is present for the counterparty (error 00417).</w:t>
      </w:r>
    </w:p>
    <w:p>
      <w:pPr>
        <w:pStyle w:val="ListParagraph"/>
        <w:numPr>
          <w:ilvl w:val="0"/>
          <w:numId w:val="2"/>
        </w:numPr>
        <w:spacing w:after="70" w:line="268"/>
      </w:pPr>
      <w:r>
        <w:rPr>
          <w:rFonts w:ascii="Calibri" w:cs="Calibri" w:eastAsia="Calibri" w:hAnsi="Calibri"/>
          <w:sz w:val="21"/>
          <w:szCs w:val="21"/>
        </w:rPr>
        <w:t xml:space="preserve">Temporal coherence: supply date ≤ invoice date ≤ registration date, within statutory windows; sequence numbering is progressive and without gaps where required.</w:t>
      </w:r>
    </w:p>
    <w:p>
      <w:pPr>
        <w:pStyle w:val="Heading1"/>
        <w:spacing w:after="140" w:before="320"/>
      </w:pPr>
      <w:r>
        <w:rPr>
          <w:rFonts w:ascii="Calibri" w:cs="Calibri" w:eastAsia="Calibri" w:hAnsi="Calibri"/>
          <w:b/>
          <w:bCs/>
          <w:color w:val="1F3864"/>
          <w:sz w:val="30"/>
          <w:szCs w:val="30"/>
        </w:rPr>
        <w:t xml:space="preserve">6.  Applicable business rules — Italian VAT (IVA)</w:t>
      </w:r>
    </w:p>
    <w:p>
      <w:pPr>
        <w:spacing w:after="120" w:before="0" w:line="276"/>
      </w:pPr>
      <w:r>
        <w:rPr>
          <w:rFonts w:ascii="Calibri" w:cs="Calibri" w:eastAsia="Calibri" w:hAnsi="Calibri"/>
          <w:sz w:val="21"/>
          <w:szCs w:val="21"/>
        </w:rPr>
        <w:t xml:space="preserve">The following rules are stated in full and are applied by the validation engine. Legal basis: Presidential Decree No. 633 of 26 October 1972 (DPR 633/1972) and its Table A; art. 16 sets the rates. From 1 January 2027 the consolidated VAT act (D.Lgs. 19 January 2026, No. 10 — "Testo Unico IVA") replaces DPR 633/1972; the rates and the structure below are confirmed unchanged. The national rules implement EU Directive 2006/112/EC. Links are in Section 13.</w:t>
      </w:r>
    </w:p>
    <w:p>
      <w:pPr>
        <w:pStyle w:val="Heading2"/>
        <w:spacing w:after="100" w:before="240"/>
      </w:pPr>
      <w:r>
        <w:rPr>
          <w:rFonts w:ascii="Calibri" w:cs="Calibri" w:eastAsia="Calibri" w:hAnsi="Calibri"/>
          <w:b/>
          <w:bCs/>
          <w:color w:val="2E75B6"/>
          <w:sz w:val="25"/>
          <w:szCs w:val="25"/>
        </w:rPr>
        <w:t xml:space="preserve">6.1  VAT rates in force (2026)</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7900"/>
      </w:tblGrid>
      <w:tr>
        <w:trPr>
          <w:tblHeader/>
        </w:trPr>
        <w:tc>
          <w:tcPr>
            <w:tcW w:type="dxa" w:w="15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Rate</w:t>
            </w:r>
          </w:p>
        </w:tc>
        <w:tc>
          <w:tcPr>
            <w:tcW w:type="dxa" w:w="79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Application (non-exhaustive; the exact rate follows the nature of the good/service, not the seller’s choice)</w:t>
            </w:r>
          </w:p>
        </w:tc>
      </w:tr>
      <w:tr>
        <w:tc>
          <w:tcPr>
            <w:tcW w:type="dxa" w:w="1500"/>
            <w:tcMar>
              <w:top w:type="dxa" w:w="60"/>
              <w:left w:type="dxa" w:w="90"/>
              <w:bottom w:type="dxa" w:w="60"/>
              <w:right w:type="dxa" w:w="90"/>
            </w:tcMar>
          </w:tcPr>
          <w:p>
            <w:pPr>
              <w:spacing w:after="20" w:line="252"/>
              <w:jc w:val="center"/>
            </w:pPr>
            <w:r>
              <w:rPr>
                <w:rFonts w:ascii="Calibri" w:cs="Calibri" w:eastAsia="Calibri" w:hAnsi="Calibri"/>
                <w:b/>
                <w:bCs/>
                <w:sz w:val="20"/>
                <w:szCs w:val="20"/>
              </w:rPr>
              <w:t xml:space="preserve">22%</w:t>
            </w:r>
          </w:p>
        </w:tc>
        <w:tc>
          <w:tcPr>
            <w:tcW w:type="dxa" w:w="7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Ordinary rate. Default for every good or service not expressly assigned a reduced rate (e.g. electronics, clothing, professional/consulting services, most standard services).</w:t>
            </w:r>
          </w:p>
        </w:tc>
      </w:tr>
      <w:tr>
        <w:tc>
          <w:tcPr>
            <w:tcW w:type="dxa" w:w="1500"/>
            <w:shd w:fill="EDF1F9" w:color="auto" w:val="clear"/>
            <w:tcMar>
              <w:top w:type="dxa" w:w="60"/>
              <w:left w:type="dxa" w:w="90"/>
              <w:bottom w:type="dxa" w:w="60"/>
              <w:right w:type="dxa" w:w="90"/>
            </w:tcMar>
          </w:tcPr>
          <w:p>
            <w:pPr>
              <w:spacing w:after="20" w:line="252"/>
              <w:jc w:val="center"/>
            </w:pPr>
            <w:r>
              <w:rPr>
                <w:rFonts w:ascii="Calibri" w:cs="Calibri" w:eastAsia="Calibri" w:hAnsi="Calibri"/>
                <w:b/>
                <w:bCs/>
                <w:sz w:val="20"/>
                <w:szCs w:val="20"/>
              </w:rPr>
              <w:t xml:space="preserve">10%</w:t>
            </w:r>
          </w:p>
        </w:tc>
        <w:tc>
          <w:tcPr>
            <w:tcW w:type="dxa" w:w="7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Reduced rate (Table A, Part III): e.g. processed foodstuffs, many medicines, restaurant/bar services, hotel/accommodation, passenger transport, domestic electricity and gas, certain building/renovation works, tourism.</w:t>
            </w:r>
          </w:p>
        </w:tc>
      </w:tr>
      <w:tr>
        <w:tc>
          <w:tcPr>
            <w:tcW w:type="dxa" w:w="1500"/>
            <w:tcMar>
              <w:top w:type="dxa" w:w="60"/>
              <w:left w:type="dxa" w:w="90"/>
              <w:bottom w:type="dxa" w:w="60"/>
              <w:right w:type="dxa" w:w="90"/>
            </w:tcMar>
          </w:tcPr>
          <w:p>
            <w:pPr>
              <w:spacing w:after="20" w:line="252"/>
              <w:jc w:val="center"/>
            </w:pPr>
            <w:r>
              <w:rPr>
                <w:rFonts w:ascii="Calibri" w:cs="Calibri" w:eastAsia="Calibri" w:hAnsi="Calibri"/>
                <w:b/>
                <w:bCs/>
                <w:sz w:val="20"/>
                <w:szCs w:val="20"/>
              </w:rPr>
              <w:t xml:space="preserve">5%</w:t>
            </w:r>
          </w:p>
        </w:tc>
        <w:tc>
          <w:tcPr>
            <w:tcW w:type="dxa" w:w="7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Reduced rate (Table A, Part II-bis): e.g. certain social-health and welfare services, feminine-hygiene products, specified infant/childhood products (L. 213/2023), certain food herbs.</w:t>
            </w:r>
          </w:p>
        </w:tc>
      </w:tr>
      <w:tr>
        <w:tc>
          <w:tcPr>
            <w:tcW w:type="dxa" w:w="1500"/>
            <w:shd w:fill="EDF1F9" w:color="auto" w:val="clear"/>
            <w:tcMar>
              <w:top w:type="dxa" w:w="60"/>
              <w:left w:type="dxa" w:w="90"/>
              <w:bottom w:type="dxa" w:w="60"/>
              <w:right w:type="dxa" w:w="90"/>
            </w:tcMar>
          </w:tcPr>
          <w:p>
            <w:pPr>
              <w:spacing w:after="20" w:line="252"/>
              <w:jc w:val="center"/>
            </w:pPr>
            <w:r>
              <w:rPr>
                <w:rFonts w:ascii="Calibri" w:cs="Calibri" w:eastAsia="Calibri" w:hAnsi="Calibri"/>
                <w:b/>
                <w:bCs/>
                <w:sz w:val="20"/>
                <w:szCs w:val="20"/>
              </w:rPr>
              <w:t xml:space="preserve">4%</w:t>
            </w:r>
          </w:p>
        </w:tc>
        <w:tc>
          <w:tcPr>
            <w:tcW w:type="dxa" w:w="79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Super-reduced rate (Table A, Part II): e.g. basic necessities (fresh milk, bread, unprocessed cereals), books and newspapers, certain agricultural products, first-home purchase, technical aids for persons with disabilities (L. 104/1992).</w:t>
            </w:r>
          </w:p>
        </w:tc>
      </w:tr>
      <w:tr>
        <w:tc>
          <w:tcPr>
            <w:tcW w:type="dxa" w:w="1500"/>
            <w:tcMar>
              <w:top w:type="dxa" w:w="60"/>
              <w:left w:type="dxa" w:w="90"/>
              <w:bottom w:type="dxa" w:w="60"/>
              <w:right w:type="dxa" w:w="90"/>
            </w:tcMar>
          </w:tcPr>
          <w:p>
            <w:pPr>
              <w:spacing w:after="20" w:line="252"/>
              <w:jc w:val="center"/>
            </w:pPr>
            <w:r>
              <w:rPr>
                <w:rFonts w:ascii="Calibri" w:cs="Calibri" w:eastAsia="Calibri" w:hAnsi="Calibri"/>
                <w:b/>
                <w:bCs/>
                <w:sz w:val="20"/>
                <w:szCs w:val="20"/>
              </w:rPr>
              <w:t xml:space="preserve">0% + Natura</w:t>
            </w:r>
          </w:p>
        </w:tc>
        <w:tc>
          <w:tcPr>
            <w:tcW w:type="dxa" w:w="79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Operations without applied VAT — excluded, non-taxable, exempt, margin scheme, reverse charge, or VAT paid in another Member State. These require a Natura code (Section 6.3), not a rate.</w:t>
            </w:r>
          </w:p>
        </w:tc>
      </w:tr>
    </w:tbl>
    <w:p>
      <w:pPr>
        <w:spacing w:after="60"/>
      </w:pPr>
      <w:r>
        <w:rPr>
          <w:rFonts w:ascii="Calibri" w:cs="Calibri" w:eastAsia="Calibri" w:hAnsi="Calibri"/>
        </w:rPr>
        <w:t xml:space="preserve"/>
      </w:r>
    </w:p>
    <w:p>
      <w:pPr>
        <w:spacing w:after="120" w:before="0" w:line="276"/>
      </w:pPr>
      <w:r>
        <w:rPr>
          <w:rFonts w:ascii="Calibri" w:cs="Calibri" w:eastAsia="Calibri" w:hAnsi="Calibri"/>
          <w:b/>
          <w:bCs/>
          <w:color w:val="1F3864"/>
          <w:sz w:val="21"/>
          <w:szCs w:val="21"/>
        </w:rPr>
        <w:t xml:space="preserve">Rule 6.1-a — Rates are exhaustive. </w:t>
      </w:r>
      <w:r>
        <w:rPr>
          <w:rFonts w:ascii="Calibri" w:cs="Calibri" w:eastAsia="Calibri" w:hAnsi="Calibri"/>
          <w:sz w:val="21"/>
          <w:szCs w:val="21"/>
        </w:rPr>
        <w:t xml:space="preserve">The reduced rates (4%, 5%, 10%) are mandatory exceptions listed in Table A; they cannot be applied by analogy or extensive interpretation. Anything not listed is taxed at 22%.</w:t>
      </w:r>
    </w:p>
    <w:p>
      <w:pPr>
        <w:spacing w:after="120" w:before="0" w:line="276"/>
      </w:pPr>
      <w:r>
        <w:rPr>
          <w:rFonts w:ascii="Calibri" w:cs="Calibri" w:eastAsia="Calibri" w:hAnsi="Calibri"/>
          <w:b/>
          <w:bCs/>
          <w:color w:val="1F3864"/>
          <w:sz w:val="21"/>
          <w:szCs w:val="21"/>
        </w:rPr>
        <w:t xml:space="preserve">Rule 6.1-b — Rate follows the object. </w:t>
      </w:r>
      <w:r>
        <w:rPr>
          <w:rFonts w:ascii="Calibri" w:cs="Calibri" w:eastAsia="Calibri" w:hAnsi="Calibri"/>
          <w:sz w:val="21"/>
          <w:szCs w:val="21"/>
        </w:rPr>
        <w:t xml:space="preserve">The applicable rate depends on the objective classification of the good/service and on territoriality, not on the supplier’s preference. Watch intra-category distinctions (e.g. fresh milk 4% vs cheese/butter 10%).</w:t>
      </w:r>
    </w:p>
    <w:p>
      <w:pPr>
        <w:spacing w:after="120" w:before="0" w:line="276"/>
      </w:pPr>
      <w:r>
        <w:rPr>
          <w:rFonts w:ascii="Calibri" w:cs="Calibri" w:eastAsia="Calibri" w:hAnsi="Calibri"/>
          <w:b/>
          <w:bCs/>
          <w:color w:val="1F3864"/>
          <w:sz w:val="21"/>
          <w:szCs w:val="21"/>
        </w:rPr>
        <w:t xml:space="preserve">Rule 6.1-c — Wrong-rate detection. </w:t>
      </w:r>
      <w:r>
        <w:rPr>
          <w:rFonts w:ascii="Calibri" w:cs="Calibri" w:eastAsia="Calibri" w:hAnsi="Calibri"/>
          <w:sz w:val="21"/>
          <w:szCs w:val="21"/>
        </w:rPr>
        <w:t xml:space="preserve">For every line, the engine compares the applied rate against the rate mapped to the cost category in the client taxonomy. A mismatch is raised as an anomaly and triggers a client request (see the worked example in Section 8.4). An incorrect rate/Natura is a substantive error that the SdI does not catch and that may attract penalties of 90%–180% of the VAT (mitigable via ravvedimento operoso).</w:t>
      </w:r>
    </w:p>
    <w:p>
      <w:pPr>
        <w:pStyle w:val="Heading2"/>
        <w:spacing w:after="100" w:before="240"/>
      </w:pPr>
      <w:r>
        <w:rPr>
          <w:rFonts w:ascii="Calibri" w:cs="Calibri" w:eastAsia="Calibri" w:hAnsi="Calibri"/>
          <w:b/>
          <w:bCs/>
          <w:color w:val="2E75B6"/>
          <w:sz w:val="25"/>
          <w:szCs w:val="25"/>
        </w:rPr>
        <w:t xml:space="preserve">6.2  Cost-category ↔ rate mapping (client taxonomy)</w:t>
      </w:r>
    </w:p>
    <w:p>
      <w:pPr>
        <w:spacing w:after="120" w:before="0" w:line="276"/>
      </w:pPr>
      <w:r>
        <w:rPr>
          <w:rFonts w:ascii="Calibri" w:cs="Calibri" w:eastAsia="Calibri" w:hAnsi="Calibri"/>
          <w:b w:val="false"/>
          <w:bCs w:val="false"/>
          <w:i w:val="false"/>
          <w:iCs w:val="false"/>
          <w:sz w:val="21"/>
          <w:szCs w:val="21"/>
        </w:rPr>
        <w:t xml:space="preserve">The client profile registers, for each cost category, the expected VAT rate and Natura. The engine treats this mapping as the reference truth for consistency checks. Illustrative structure:</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2000"/>
        <w:gridCol w:w="2000"/>
        <w:gridCol w:w="2000"/>
      </w:tblGrid>
      <w:tr>
        <w:trPr>
          <w:tblHeader/>
        </w:trPr>
        <w:tc>
          <w:tcPr>
            <w:tcW w:type="dxa" w:w="34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Cost category (example)</w:t>
            </w:r>
          </w:p>
        </w:tc>
        <w:tc>
          <w:tcPr>
            <w:tcW w:type="dxa" w:w="20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Expected rate</w:t>
            </w:r>
          </w:p>
        </w:tc>
        <w:tc>
          <w:tcPr>
            <w:tcW w:type="dxa" w:w="20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Expected Natura</w:t>
            </w:r>
          </w:p>
        </w:tc>
        <w:tc>
          <w:tcPr>
            <w:tcW w:type="dxa" w:w="20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Evidence required</w:t>
            </w:r>
          </w:p>
        </w:tc>
      </w:tr>
      <w:tr>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Professional consulting (domestic)</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22%</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None</w:t>
            </w:r>
          </w:p>
        </w:tc>
      </w:tr>
      <w:tr>
        <w:tc>
          <w:tcPr>
            <w:tcW w:type="dxa" w:w="34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Hotel / accommodation</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10%</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None</w:t>
            </w:r>
          </w:p>
        </w:tc>
      </w:tr>
      <w:tr>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Books / publications</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4%</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None</w:t>
            </w:r>
          </w:p>
        </w:tc>
      </w:tr>
      <w:tr>
        <w:tc>
          <w:tcPr>
            <w:tcW w:type="dxa" w:w="34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Export of goods (extra-EU)</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N3.1</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Customs / transport proof</w:t>
            </w:r>
          </w:p>
        </w:tc>
      </w:tr>
      <w:tr>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Intra-EU supply of goods</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N3.2</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VIES + transport proof</w:t>
            </w:r>
          </w:p>
        </w:tc>
      </w:tr>
      <w:tr>
        <w:tc>
          <w:tcPr>
            <w:tcW w:type="dxa" w:w="34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Supply to habitual exporter</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N3.5</w:t>
            </w:r>
          </w:p>
        </w:tc>
        <w:tc>
          <w:tcPr>
            <w:tcW w:type="dxa" w:w="2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Declaration of intent</w:t>
            </w:r>
          </w:p>
        </w:tc>
      </w:tr>
      <w:tr>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Domestic reverse-charge (subcontract, construction)</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N6.7</w:t>
            </w:r>
          </w:p>
        </w:tc>
        <w:tc>
          <w:tcPr>
            <w:tcW w:type="dxa" w:w="2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Contract reference</w:t>
            </w:r>
          </w:p>
        </w:tc>
      </w:tr>
    </w:tbl>
    <w:p>
      <w:pPr>
        <w:pStyle w:val="Heading2"/>
        <w:spacing w:after="100" w:before="240"/>
      </w:pPr>
      <w:r>
        <w:rPr>
          <w:rFonts w:ascii="Calibri" w:cs="Calibri" w:eastAsia="Calibri" w:hAnsi="Calibri"/>
          <w:b/>
          <w:bCs/>
          <w:color w:val="2E75B6"/>
          <w:sz w:val="25"/>
          <w:szCs w:val="25"/>
        </w:rPr>
        <w:t xml:space="preserve">6.3  VAT "Natura" codes (0% operations)</w:t>
      </w:r>
    </w:p>
    <w:p>
      <w:pPr>
        <w:spacing w:after="120" w:before="0" w:line="276"/>
      </w:pPr>
      <w:r>
        <w:rPr>
          <w:rFonts w:ascii="Calibri" w:cs="Calibri" w:eastAsia="Calibri" w:hAnsi="Calibri"/>
          <w:b w:val="false"/>
          <w:bCs w:val="false"/>
          <w:i w:val="false"/>
          <w:iCs w:val="false"/>
          <w:sz w:val="21"/>
          <w:szCs w:val="21"/>
        </w:rPr>
        <w:t xml:space="preserve">When no VAT rate is applied, the correct Natura code is mandatory. Sub-codes are compulsory for N2, N3 and N6; the bare codes are rejected.</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400"/>
        <w:gridCol w:w="8000"/>
      </w:tblGrid>
      <w:tr>
        <w:trPr>
          <w:tblHeader/>
        </w:trPr>
        <w:tc>
          <w:tcPr>
            <w:tcW w:type="dxa" w:w="14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Code</w:t>
            </w:r>
          </w:p>
        </w:tc>
        <w:tc>
          <w:tcPr>
            <w:tcW w:type="dxa" w:w="80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Meaning and main sub-codes</w:t>
            </w:r>
          </w:p>
        </w:tc>
      </w:tr>
      <w:tr>
        <w:tc>
          <w:tcPr>
            <w:tcW w:type="dxa" w:w="1400"/>
            <w:tcMar>
              <w:top w:type="dxa" w:w="60"/>
              <w:left w:type="dxa" w:w="90"/>
              <w:bottom w:type="dxa" w:w="60"/>
              <w:right w:type="dxa" w:w="90"/>
            </w:tcMar>
          </w:tcPr>
          <w:p>
            <w:pPr>
              <w:spacing w:after="20" w:line="252"/>
            </w:pPr>
            <w:r>
              <w:rPr>
                <w:rFonts w:ascii="Calibri" w:cs="Calibri" w:eastAsia="Calibri" w:hAnsi="Calibri"/>
                <w:b/>
                <w:bCs/>
                <w:sz w:val="20"/>
                <w:szCs w:val="20"/>
              </w:rPr>
              <w:t xml:space="preserve">N1</w:t>
            </w:r>
          </w:p>
        </w:tc>
        <w:tc>
          <w:tcPr>
            <w:tcW w:type="dxa" w:w="8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Excluded operations pursuant to art. 15 DPR 633/1972 (e.g. certain reimbursed amounts).</w:t>
            </w:r>
          </w:p>
        </w:tc>
      </w:tr>
      <w:tr>
        <w:tc>
          <w:tcPr>
            <w:tcW w:type="dxa" w:w="14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N2</w:t>
            </w:r>
          </w:p>
        </w:tc>
        <w:tc>
          <w:tcPr>
            <w:tcW w:type="dxa" w:w="8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Not subject to VAT. N2.1 — not subject for lack of territoriality (e.g. art. 7-ter services to an EU business, "Inversione contabile"). N2.2 — other not-subject operations (includes the flat-rate/forfettario regime towards Italian customers).</w:t>
            </w:r>
          </w:p>
        </w:tc>
      </w:tr>
      <w:tr>
        <w:tc>
          <w:tcPr>
            <w:tcW w:type="dxa" w:w="1400"/>
            <w:tcMar>
              <w:top w:type="dxa" w:w="60"/>
              <w:left w:type="dxa" w:w="90"/>
              <w:bottom w:type="dxa" w:w="60"/>
              <w:right w:type="dxa" w:w="90"/>
            </w:tcMar>
          </w:tcPr>
          <w:p>
            <w:pPr>
              <w:spacing w:after="20" w:line="252"/>
            </w:pPr>
            <w:r>
              <w:rPr>
                <w:rFonts w:ascii="Calibri" w:cs="Calibri" w:eastAsia="Calibri" w:hAnsi="Calibri"/>
                <w:b/>
                <w:bCs/>
                <w:sz w:val="20"/>
                <w:szCs w:val="20"/>
              </w:rPr>
              <w:t xml:space="preserve">N3</w:t>
            </w:r>
          </w:p>
        </w:tc>
        <w:tc>
          <w:tcPr>
            <w:tcW w:type="dxa" w:w="8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Non-taxable. N3.1 exports (extra-EU); N3.2 intra-EU supplies; N3.3 supplies to San Marino; N3.4 operations treated as exports; N3.5 supplies to habitual exporters with declaration of intent; N3.6 other non-taxable operations.</w:t>
            </w:r>
          </w:p>
        </w:tc>
      </w:tr>
      <w:tr>
        <w:tc>
          <w:tcPr>
            <w:tcW w:type="dxa" w:w="14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N4</w:t>
            </w:r>
          </w:p>
        </w:tc>
        <w:tc>
          <w:tcPr>
            <w:tcW w:type="dxa" w:w="8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Exempt operations (art. 10 DPR 633/1972).</w:t>
            </w:r>
          </w:p>
        </w:tc>
      </w:tr>
      <w:tr>
        <w:tc>
          <w:tcPr>
            <w:tcW w:type="dxa" w:w="1400"/>
            <w:tcMar>
              <w:top w:type="dxa" w:w="60"/>
              <w:left w:type="dxa" w:w="90"/>
              <w:bottom w:type="dxa" w:w="60"/>
              <w:right w:type="dxa" w:w="90"/>
            </w:tcMar>
          </w:tcPr>
          <w:p>
            <w:pPr>
              <w:spacing w:after="20" w:line="252"/>
            </w:pPr>
            <w:r>
              <w:rPr>
                <w:rFonts w:ascii="Calibri" w:cs="Calibri" w:eastAsia="Calibri" w:hAnsi="Calibri"/>
                <w:b/>
                <w:bCs/>
                <w:sz w:val="20"/>
                <w:szCs w:val="20"/>
              </w:rPr>
              <w:t xml:space="preserve">N5</w:t>
            </w:r>
          </w:p>
        </w:tc>
        <w:tc>
          <w:tcPr>
            <w:tcW w:type="dxa" w:w="8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Margin scheme / VAT not separately shown.</w:t>
            </w:r>
          </w:p>
        </w:tc>
      </w:tr>
      <w:tr>
        <w:tc>
          <w:tcPr>
            <w:tcW w:type="dxa" w:w="14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N6</w:t>
            </w:r>
          </w:p>
        </w:tc>
        <w:tc>
          <w:tcPr>
            <w:tcW w:type="dxa" w:w="80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Reverse charge (inversione contabile). Sub-codes N6.1–N6.9 by operation type (e.g. scrap, gold, construction subcontracting, buildings, electronics, energy). The document must carry the wording "Inversione contabile".</w:t>
            </w:r>
          </w:p>
        </w:tc>
      </w:tr>
      <w:tr>
        <w:tc>
          <w:tcPr>
            <w:tcW w:type="dxa" w:w="1400"/>
            <w:tcMar>
              <w:top w:type="dxa" w:w="60"/>
              <w:left w:type="dxa" w:w="90"/>
              <w:bottom w:type="dxa" w:w="60"/>
              <w:right w:type="dxa" w:w="90"/>
            </w:tcMar>
          </w:tcPr>
          <w:p>
            <w:pPr>
              <w:spacing w:after="20" w:line="252"/>
            </w:pPr>
            <w:r>
              <w:rPr>
                <w:rFonts w:ascii="Calibri" w:cs="Calibri" w:eastAsia="Calibri" w:hAnsi="Calibri"/>
                <w:b/>
                <w:bCs/>
                <w:sz w:val="20"/>
                <w:szCs w:val="20"/>
              </w:rPr>
              <w:t xml:space="preserve">N7</w:t>
            </w:r>
          </w:p>
        </w:tc>
        <w:tc>
          <w:tcPr>
            <w:tcW w:type="dxa" w:w="80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VAT paid in another EU Member State (OSS/MOSS special schemes).</w:t>
            </w:r>
          </w:p>
        </w:tc>
      </w:tr>
    </w:tbl>
    <w:p>
      <w:pPr>
        <w:pStyle w:val="Heading2"/>
        <w:spacing w:after="100" w:before="240"/>
      </w:pPr>
      <w:r>
        <w:rPr>
          <w:rFonts w:ascii="Calibri" w:cs="Calibri" w:eastAsia="Calibri" w:hAnsi="Calibri"/>
          <w:b/>
          <w:bCs/>
          <w:color w:val="2E75B6"/>
          <w:sz w:val="25"/>
          <w:szCs w:val="25"/>
        </w:rPr>
        <w:t xml:space="preserve">6.4  Special mechanisms</w:t>
      </w:r>
    </w:p>
    <w:p>
      <w:pPr>
        <w:pStyle w:val="ListParagraph"/>
        <w:numPr>
          <w:ilvl w:val="0"/>
          <w:numId w:val="2"/>
        </w:numPr>
        <w:spacing w:after="70" w:line="268"/>
      </w:pPr>
      <w:r>
        <w:rPr>
          <w:rFonts w:ascii="Calibri" w:cs="Calibri" w:eastAsia="Calibri" w:hAnsi="Calibri"/>
          <w:b/>
          <w:bCs/>
          <w:sz w:val="21"/>
          <w:szCs w:val="21"/>
        </w:rPr>
        <w:t xml:space="preserve">Reverse charge (inversione contabile) — </w:t>
      </w:r>
      <w:r>
        <w:rPr>
          <w:rFonts w:ascii="Calibri" w:cs="Calibri" w:eastAsia="Calibri" w:hAnsi="Calibri"/>
          <w:sz w:val="21"/>
          <w:szCs w:val="21"/>
        </w:rPr>
        <w:t xml:space="preserve">art. 17 DPR 633/1972. VAT is accounted for by the recipient. Line carries 0% + the correct N6.x sub-code and the wording "Inversione contabile". Self-invoice/integration document types (TD16–TD19) apply.</w:t>
      </w:r>
    </w:p>
    <w:p>
      <w:pPr>
        <w:pStyle w:val="ListParagraph"/>
        <w:numPr>
          <w:ilvl w:val="0"/>
          <w:numId w:val="2"/>
        </w:numPr>
        <w:spacing w:after="70" w:line="268"/>
      </w:pPr>
      <w:r>
        <w:rPr>
          <w:rFonts w:ascii="Calibri" w:cs="Calibri" w:eastAsia="Calibri" w:hAnsi="Calibri"/>
          <w:b/>
          <w:bCs/>
          <w:sz w:val="21"/>
          <w:szCs w:val="21"/>
        </w:rPr>
        <w:t xml:space="preserve">Split payment (scissione dei pagamenti) — </w:t>
      </w:r>
      <w:r>
        <w:rPr>
          <w:rFonts w:ascii="Calibri" w:cs="Calibri" w:eastAsia="Calibri" w:hAnsi="Calibri"/>
          <w:sz w:val="21"/>
          <w:szCs w:val="21"/>
        </w:rPr>
        <w:t xml:space="preserve">art. 17-ter DPR 633/1972. VAT is paid directly to the Treasury by the (public-sector or listed) customer. The invoice must state "Scissione dei pagamenti" and flag the split-payment indicator.</w:t>
      </w:r>
    </w:p>
    <w:p>
      <w:pPr>
        <w:pStyle w:val="ListParagraph"/>
        <w:numPr>
          <w:ilvl w:val="0"/>
          <w:numId w:val="2"/>
        </w:numPr>
        <w:spacing w:after="70" w:line="268"/>
      </w:pPr>
      <w:r>
        <w:rPr>
          <w:rFonts w:ascii="Calibri" w:cs="Calibri" w:eastAsia="Calibri" w:hAnsi="Calibri"/>
          <w:b/>
          <w:bCs/>
          <w:sz w:val="21"/>
          <w:szCs w:val="21"/>
        </w:rPr>
        <w:t xml:space="preserve">Flat-rate regime (regime forfettario) — </w:t>
      </w:r>
      <w:r>
        <w:rPr>
          <w:rFonts w:ascii="Calibri" w:cs="Calibri" w:eastAsia="Calibri" w:hAnsi="Calibri"/>
          <w:sz w:val="21"/>
          <w:szCs w:val="21"/>
        </w:rPr>
        <w:t xml:space="preserve">L. 190/2014, art. 1, c. 54-89. No VAT charged; towards Italian customers use N2.2. Electronic invoicing is mandatory for these taxpayers.</w:t>
      </w:r>
    </w:p>
    <w:p>
      <w:pPr>
        <w:pStyle w:val="ListParagraph"/>
        <w:numPr>
          <w:ilvl w:val="0"/>
          <w:numId w:val="2"/>
        </w:numPr>
        <w:spacing w:after="70" w:line="268"/>
      </w:pPr>
      <w:r>
        <w:rPr>
          <w:rFonts w:ascii="Calibri" w:cs="Calibri" w:eastAsia="Calibri" w:hAnsi="Calibri"/>
          <w:b/>
          <w:bCs/>
          <w:sz w:val="21"/>
          <w:szCs w:val="21"/>
        </w:rPr>
        <w:t xml:space="preserve">VAT Group (Gruppo IVA) — </w:t>
      </w:r>
      <w:r>
        <w:rPr>
          <w:rFonts w:ascii="Calibri" w:cs="Calibri" w:eastAsia="Calibri" w:hAnsi="Calibri"/>
          <w:sz w:val="21"/>
          <w:szCs w:val="21"/>
        </w:rPr>
        <w:t xml:space="preserve">art. 70-ter DPR 633/1972. Invoices to a Group member must carry the Codice Fiscale of the individual participant; using the Group code causes an SdI rejection (error 00327, enforced from 15 May 2026).</w:t>
      </w:r>
    </w:p>
    <w:p>
      <w:pPr>
        <w:pStyle w:val="Heading2"/>
        <w:spacing w:after="100" w:before="240"/>
      </w:pPr>
      <w:r>
        <w:rPr>
          <w:rFonts w:ascii="Calibri" w:cs="Calibri" w:eastAsia="Calibri" w:hAnsi="Calibri"/>
          <w:b/>
          <w:bCs/>
          <w:color w:val="2E75B6"/>
          <w:sz w:val="25"/>
          <w:szCs w:val="25"/>
        </w:rPr>
        <w:t xml:space="preserve">6.5  SdI formal controls mirrored by the engine</w:t>
      </w:r>
    </w:p>
    <w:p>
      <w:pPr>
        <w:spacing w:after="120" w:before="0" w:line="276"/>
      </w:pPr>
      <w:r>
        <w:rPr>
          <w:rFonts w:ascii="Calibri" w:cs="Calibri" w:eastAsia="Calibri" w:hAnsi="Calibri"/>
          <w:b w:val="false"/>
          <w:bCs w:val="false"/>
          <w:i w:val="false"/>
          <w:iCs w:val="false"/>
          <w:sz w:val="21"/>
          <w:szCs w:val="21"/>
        </w:rPr>
        <w:t xml:space="preserve">The engine reproduces, before transmission, the automatic controls performed by the SdI so that defects are caught and remediated internally. Selected controls:</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500"/>
        <w:gridCol w:w="4600"/>
        <w:gridCol w:w="3300"/>
      </w:tblGrid>
      <w:tr>
        <w:trPr>
          <w:tblHeader/>
        </w:trPr>
        <w:tc>
          <w:tcPr>
            <w:tcW w:type="dxa" w:w="15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SdI code</w:t>
            </w:r>
          </w:p>
        </w:tc>
        <w:tc>
          <w:tcPr>
            <w:tcW w:type="dxa" w:w="4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Condition</w:t>
            </w:r>
          </w:p>
        </w:tc>
        <w:tc>
          <w:tcPr>
            <w:tcW w:type="dxa" w:w="33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Engine action</w:t>
            </w:r>
          </w:p>
        </w:tc>
      </w:tr>
      <w:tr>
        <w:tc>
          <w:tcPr>
            <w:tcW w:type="dxa" w:w="1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00327</w:t>
            </w:r>
          </w:p>
        </w:tc>
        <w:tc>
          <w:tcPr>
            <w:tcW w:type="dxa" w:w="4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VAT-Group customer identified by Group CF instead of participant CF.</w:t>
            </w:r>
          </w:p>
        </w:tc>
        <w:tc>
          <w:tcPr>
            <w:tcW w:type="dxa" w:w="3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 → request correct participant CF.</w:t>
            </w:r>
          </w:p>
        </w:tc>
      </w:tr>
      <w:tr>
        <w:tc>
          <w:tcPr>
            <w:tcW w:type="dxa" w:w="1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00415</w:t>
            </w:r>
          </w:p>
        </w:tc>
        <w:tc>
          <w:tcPr>
            <w:tcW w:type="dxa" w:w="4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 VAT rate without a Natura code.</w:t>
            </w:r>
          </w:p>
        </w:tc>
        <w:tc>
          <w:tcPr>
            <w:tcW w:type="dxa" w:w="3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 → derive/confirm Natura or request correction.</w:t>
            </w:r>
          </w:p>
        </w:tc>
      </w:tr>
      <w:tr>
        <w:tc>
          <w:tcPr>
            <w:tcW w:type="dxa" w:w="1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00417</w:t>
            </w:r>
          </w:p>
        </w:tc>
        <w:tc>
          <w:tcPr>
            <w:tcW w:type="dxa" w:w="4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Neither Partita IVA nor Codice Fiscale of the counterparty is present.</w:t>
            </w:r>
          </w:p>
        </w:tc>
        <w:tc>
          <w:tcPr>
            <w:tcW w:type="dxa" w:w="3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 → request identifier.</w:t>
            </w:r>
          </w:p>
        </w:tc>
      </w:tr>
      <w:tr>
        <w:tc>
          <w:tcPr>
            <w:tcW w:type="dxa" w:w="1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00422</w:t>
            </w:r>
          </w:p>
        </w:tc>
        <w:tc>
          <w:tcPr>
            <w:tcW w:type="dxa" w:w="4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Line number not unique within the document.</w:t>
            </w:r>
          </w:p>
        </w:tc>
        <w:tc>
          <w:tcPr>
            <w:tcW w:type="dxa" w:w="3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Auto-fix (renumber) or return for correction.</w:t>
            </w:r>
          </w:p>
        </w:tc>
      </w:tr>
      <w:tr>
        <w:tc>
          <w:tcPr>
            <w:tcW w:type="dxa" w:w="1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00423</w:t>
            </w:r>
          </w:p>
        </w:tc>
        <w:tc>
          <w:tcPr>
            <w:tcW w:type="dxa" w:w="4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Line total inconsistent with quantity × unit price − discounts.</w:t>
            </w:r>
          </w:p>
        </w:tc>
        <w:tc>
          <w:tcPr>
            <w:tcW w:type="dxa" w:w="3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Recompute; if source is authoritative, request correction.</w:t>
            </w:r>
          </w:p>
        </w:tc>
      </w:tr>
      <w:tr>
        <w:tc>
          <w:tcPr>
            <w:tcW w:type="dxa" w:w="15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00428</w:t>
            </w:r>
          </w:p>
        </w:tc>
        <w:tc>
          <w:tcPr>
            <w:tcW w:type="dxa" w:w="4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Issuer and recipient are the same party.</w:t>
            </w:r>
          </w:p>
        </w:tc>
        <w:tc>
          <w:tcPr>
            <w:tcW w:type="dxa" w:w="3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 → human escalation.</w:t>
            </w:r>
          </w:p>
        </w:tc>
      </w:tr>
      <w:tr>
        <w:tc>
          <w:tcPr>
            <w:tcW w:type="dxa" w:w="15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00429</w:t>
            </w:r>
          </w:p>
        </w:tc>
        <w:tc>
          <w:tcPr>
            <w:tcW w:type="dxa" w:w="4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Generic Natura N2/N3/N6 without sub-code.</w:t>
            </w:r>
          </w:p>
        </w:tc>
        <w:tc>
          <w:tcPr>
            <w:tcW w:type="dxa" w:w="3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 → request/complete sub-code.</w:t>
            </w:r>
          </w:p>
        </w:tc>
      </w:tr>
    </w:tbl>
    <w:p>
      <w:pPr>
        <w:pStyle w:val="Heading2"/>
        <w:spacing w:after="100" w:before="240"/>
      </w:pPr>
      <w:r>
        <w:rPr>
          <w:rFonts w:ascii="Calibri" w:cs="Calibri" w:eastAsia="Calibri" w:hAnsi="Calibri"/>
          <w:b/>
          <w:bCs/>
          <w:color w:val="2E75B6"/>
          <w:sz w:val="25"/>
          <w:szCs w:val="25"/>
        </w:rPr>
        <w:t xml:space="preserve">6.6  Correction, retention and penalties</w:t>
      </w:r>
    </w:p>
    <w:p>
      <w:pPr>
        <w:pStyle w:val="ListParagraph"/>
        <w:numPr>
          <w:ilvl w:val="0"/>
          <w:numId w:val="2"/>
        </w:numPr>
        <w:spacing w:after="70" w:line="268"/>
      </w:pPr>
      <w:r>
        <w:rPr>
          <w:rFonts w:ascii="Calibri" w:cs="Calibri" w:eastAsia="Calibri" w:hAnsi="Calibri"/>
          <w:sz w:val="21"/>
          <w:szCs w:val="21"/>
        </w:rPr>
        <w:t xml:space="preserve">A rejected (scartata) invoice must be corrected and re-transmitted within 5 days of the rejection notice; the same number may be reused only for a document previously rejected.</w:t>
      </w:r>
    </w:p>
    <w:p>
      <w:pPr>
        <w:pStyle w:val="ListParagraph"/>
        <w:numPr>
          <w:ilvl w:val="0"/>
          <w:numId w:val="2"/>
        </w:numPr>
        <w:spacing w:after="70" w:line="268"/>
      </w:pPr>
      <w:r>
        <w:rPr>
          <w:rFonts w:ascii="Calibri" w:cs="Calibri" w:eastAsia="Calibri" w:hAnsi="Calibri"/>
          <w:sz w:val="21"/>
          <w:szCs w:val="21"/>
        </w:rPr>
        <w:t xml:space="preserve">If an invoice was accepted but later found wrong, correction is by credit note (nota di credito, TD04) followed by a correct invoice — not by silent editing.</w:t>
      </w:r>
    </w:p>
    <w:p>
      <w:pPr>
        <w:pStyle w:val="ListParagraph"/>
        <w:numPr>
          <w:ilvl w:val="0"/>
          <w:numId w:val="2"/>
        </w:numPr>
        <w:spacing w:after="70" w:line="268"/>
      </w:pPr>
      <w:r>
        <w:rPr>
          <w:rFonts w:ascii="Calibri" w:cs="Calibri" w:eastAsia="Calibri" w:hAnsi="Calibri"/>
          <w:sz w:val="21"/>
          <w:szCs w:val="21"/>
        </w:rPr>
        <w:t xml:space="preserve">Electronic invoices (issued and received) must be retained under compliant digital preservation (conservazione sostitutiva, AgID rules) for 10 years.</w:t>
      </w:r>
    </w:p>
    <w:p>
      <w:pPr>
        <w:pStyle w:val="ListParagraph"/>
        <w:numPr>
          <w:ilvl w:val="0"/>
          <w:numId w:val="2"/>
        </w:numPr>
        <w:spacing w:after="70" w:line="268"/>
      </w:pPr>
      <w:r>
        <w:rPr>
          <w:rFonts w:ascii="Calibri" w:cs="Calibri" w:eastAsia="Calibri" w:hAnsi="Calibri"/>
          <w:sz w:val="21"/>
          <w:szCs w:val="21"/>
        </w:rPr>
        <w:t xml:space="preserve">Incorrect rate/Natura is a substantive error that may attract administrative penalties from 90% to 180% of the VAT, reducible through voluntary correction (ravvedimento operoso). The engine’s purpose is to prevent these errors reaching filing.</w:t>
      </w:r>
    </w:p>
    <w:p>
      <w:pPr>
        <w:pStyle w:val="Heading1"/>
        <w:spacing w:after="140" w:before="320"/>
      </w:pPr>
      <w:r>
        <w:rPr>
          <w:rFonts w:ascii="Calibri" w:cs="Calibri" w:eastAsia="Calibri" w:hAnsi="Calibri"/>
          <w:b/>
          <w:bCs/>
          <w:color w:val="1F3864"/>
          <w:sz w:val="30"/>
          <w:szCs w:val="30"/>
        </w:rPr>
        <w:t xml:space="preserve">7.  Anomaly detection, classification and routing</w:t>
      </w:r>
    </w:p>
    <w:p>
      <w:pPr>
        <w:pStyle w:val="Heading2"/>
        <w:spacing w:after="100" w:before="240"/>
      </w:pPr>
      <w:r>
        <w:rPr>
          <w:rFonts w:ascii="Calibri" w:cs="Calibri" w:eastAsia="Calibri" w:hAnsi="Calibri"/>
          <w:b/>
          <w:bCs/>
          <w:color w:val="2E75B6"/>
          <w:sz w:val="25"/>
          <w:szCs w:val="25"/>
        </w:rPr>
        <w:t xml:space="preserve">7.1  Severity levels</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4100"/>
        <w:gridCol w:w="3400"/>
      </w:tblGrid>
      <w:tr>
        <w:trPr>
          <w:tblHeader/>
        </w:trPr>
        <w:tc>
          <w:tcPr>
            <w:tcW w:type="dxa" w:w="19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Severity</w:t>
            </w:r>
          </w:p>
        </w:tc>
        <w:tc>
          <w:tcPr>
            <w:tcW w:type="dxa" w:w="41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Definition</w:t>
            </w:r>
          </w:p>
        </w:tc>
        <w:tc>
          <w:tcPr>
            <w:tcW w:type="dxa" w:w="34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Default routing</w:t>
            </w:r>
          </w:p>
        </w:tc>
      </w:tr>
      <w:tr>
        <w:tc>
          <w:tcPr>
            <w:tcW w:type="dxa" w:w="1900"/>
            <w:tcMar>
              <w:top w:type="dxa" w:w="60"/>
              <w:left w:type="dxa" w:w="90"/>
              <w:bottom w:type="dxa" w:w="60"/>
              <w:right w:type="dxa" w:w="90"/>
            </w:tcMar>
          </w:tcPr>
          <w:p>
            <w:pPr>
              <w:spacing w:after="20" w:line="252"/>
            </w:pPr>
            <w:r>
              <w:rPr>
                <w:rFonts w:ascii="Calibri" w:cs="Calibri" w:eastAsia="Calibri" w:hAnsi="Calibri"/>
                <w:b/>
                <w:bCs/>
                <w:color w:val="C00000"/>
                <w:sz w:val="20"/>
                <w:szCs w:val="20"/>
              </w:rPr>
              <w:t xml:space="preserve">Blocking</w:t>
            </w:r>
          </w:p>
        </w:tc>
        <w:tc>
          <w:tcPr>
            <w:tcW w:type="dxa" w:w="41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The record cannot be considered valid or transmitted (e.g. failed schema, missing Natura, wrong counterparty identity, invalid signature).</w:t>
            </w:r>
          </w:p>
        </w:tc>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Stop processing; request client input or escalate; never mark valid.</w:t>
            </w:r>
          </w:p>
        </w:tc>
      </w:tr>
      <w:tr>
        <w:tc>
          <w:tcPr>
            <w:tcW w:type="dxa" w:w="1900"/>
            <w:shd w:fill="EDF1F9" w:color="auto" w:val="clear"/>
            <w:tcMar>
              <w:top w:type="dxa" w:w="60"/>
              <w:left w:type="dxa" w:w="90"/>
              <w:bottom w:type="dxa" w:w="60"/>
              <w:right w:type="dxa" w:w="90"/>
            </w:tcMar>
          </w:tcPr>
          <w:p>
            <w:pPr>
              <w:spacing w:after="20" w:line="252"/>
            </w:pPr>
            <w:r>
              <w:rPr>
                <w:rFonts w:ascii="Calibri" w:cs="Calibri" w:eastAsia="Calibri" w:hAnsi="Calibri"/>
                <w:b/>
                <w:bCs/>
                <w:color w:val="BF8F00"/>
                <w:sz w:val="20"/>
                <w:szCs w:val="20"/>
              </w:rPr>
              <w:t xml:space="preserve">Major</w:t>
            </w:r>
          </w:p>
        </w:tc>
        <w:tc>
          <w:tcPr>
            <w:tcW w:type="dxa" w:w="41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 substantive rule is breached but a defined correction path exists (e.g. wrong VAT rate on a cost line, missing declaration of intent).</w:t>
            </w:r>
          </w:p>
        </w:tc>
        <w:tc>
          <w:tcPr>
            <w:tcW w:type="dxa" w:w="34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 client correction / documentation; hold the record.</w:t>
            </w:r>
          </w:p>
        </w:tc>
      </w:tr>
      <w:tr>
        <w:tc>
          <w:tcPr>
            <w:tcW w:type="dxa" w:w="1900"/>
            <w:tcMar>
              <w:top w:type="dxa" w:w="60"/>
              <w:left w:type="dxa" w:w="90"/>
              <w:bottom w:type="dxa" w:w="60"/>
              <w:right w:type="dxa" w:w="90"/>
            </w:tcMar>
          </w:tcPr>
          <w:p>
            <w:pPr>
              <w:spacing w:after="20" w:line="252"/>
            </w:pPr>
            <w:r>
              <w:rPr>
                <w:rFonts w:ascii="Calibri" w:cs="Calibri" w:eastAsia="Calibri" w:hAnsi="Calibri"/>
                <w:b/>
                <w:bCs/>
                <w:color w:val="548235"/>
                <w:sz w:val="20"/>
                <w:szCs w:val="20"/>
              </w:rPr>
              <w:t xml:space="preserve">Minor</w:t>
            </w:r>
          </w:p>
        </w:tc>
        <w:tc>
          <w:tcPr>
            <w:tcW w:type="dxa" w:w="41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 non-substantive defect within tolerance or auto-correctable (e.g. rounding within tolerance, non-unique line number).</w:t>
            </w:r>
          </w:p>
        </w:tc>
        <w:tc>
          <w:tcPr>
            <w:tcW w:type="dxa" w:w="34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Auto-fix within autonomy limits; log; continue.</w:t>
            </w:r>
          </w:p>
        </w:tc>
      </w:tr>
      <w:tr>
        <w:tc>
          <w:tcPr>
            <w:tcW w:type="dxa" w:w="1900"/>
            <w:shd w:fill="EDF1F9" w:color="auto" w:val="clear"/>
            <w:tcMar>
              <w:top w:type="dxa" w:w="60"/>
              <w:left w:type="dxa" w:w="90"/>
              <w:bottom w:type="dxa" w:w="60"/>
              <w:right w:type="dxa" w:w="90"/>
            </w:tcMar>
          </w:tcPr>
          <w:p>
            <w:pPr>
              <w:spacing w:after="20" w:line="252"/>
            </w:pPr>
            <w:r>
              <w:rPr>
                <w:rFonts w:ascii="Calibri" w:cs="Calibri" w:eastAsia="Calibri" w:hAnsi="Calibri"/>
                <w:b/>
                <w:bCs/>
                <w:color w:val="595959"/>
                <w:sz w:val="20"/>
                <w:szCs w:val="20"/>
              </w:rPr>
              <w:t xml:space="preserve">Informational</w:t>
            </w:r>
          </w:p>
        </w:tc>
        <w:tc>
          <w:tcPr>
            <w:tcW w:type="dxa" w:w="41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An observation with no action required (e.g. unusual but admissible value).</w:t>
            </w:r>
          </w:p>
        </w:tc>
        <w:tc>
          <w:tcPr>
            <w:tcW w:type="dxa" w:w="34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Log only.</w:t>
            </w:r>
          </w:p>
        </w:tc>
      </w:tr>
    </w:tbl>
    <w:p>
      <w:pPr>
        <w:pStyle w:val="Heading2"/>
        <w:spacing w:after="100" w:before="240"/>
      </w:pPr>
      <w:r>
        <w:rPr>
          <w:rFonts w:ascii="Calibri" w:cs="Calibri" w:eastAsia="Calibri" w:hAnsi="Calibri"/>
          <w:b/>
          <w:bCs/>
          <w:color w:val="2E75B6"/>
          <w:sz w:val="25"/>
          <w:szCs w:val="25"/>
        </w:rPr>
        <w:t xml:space="preserve">7.2  Root-cause inference</w:t>
      </w:r>
    </w:p>
    <w:p>
      <w:pPr>
        <w:spacing w:after="120" w:before="0" w:line="276"/>
      </w:pPr>
      <w:r>
        <w:rPr>
          <w:rFonts w:ascii="Calibri" w:cs="Calibri" w:eastAsia="Calibri" w:hAnsi="Calibri"/>
          <w:b w:val="false"/>
          <w:bCs w:val="false"/>
          <w:i w:val="false"/>
          <w:iCs w:val="false"/>
          <w:sz w:val="21"/>
          <w:szCs w:val="21"/>
        </w:rPr>
        <w:t xml:space="preserve">For each anomaly the engine records: the failed rule, the dimension, the field(s) involved, the observed vs expected value, the probable cause and the recommended action. This structured diagnosis is what populates the client request, so that the message is specific and actionable rather than generic.</w:t>
      </w:r>
    </w:p>
    <w:p>
      <w:pPr>
        <w:pStyle w:val="Heading2"/>
        <w:spacing w:after="100" w:before="240"/>
      </w:pPr>
      <w:r>
        <w:rPr>
          <w:rFonts w:ascii="Calibri" w:cs="Calibri" w:eastAsia="Calibri" w:hAnsi="Calibri"/>
          <w:b/>
          <w:bCs/>
          <w:color w:val="2E75B6"/>
          <w:sz w:val="25"/>
          <w:szCs w:val="25"/>
        </w:rPr>
        <w:t xml:space="preserve">7.3  Routing logic</w:t>
      </w:r>
    </w:p>
    <w:p>
      <w:pPr>
        <w:pStyle w:val="ListParagraph"/>
        <w:numPr>
          <w:ilvl w:val="0"/>
          <w:numId w:val="4"/>
        </w:numPr>
        <w:spacing w:after="70" w:line="268"/>
      </w:pPr>
      <w:r>
        <w:rPr>
          <w:rFonts w:ascii="Calibri" w:cs="Calibri" w:eastAsia="Calibri" w:hAnsi="Calibri"/>
          <w:sz w:val="21"/>
          <w:szCs w:val="21"/>
        </w:rPr>
        <w:t xml:space="preserve">If any Blocking anomaly exists → the record is held; if it is machine-correctable within autonomy limits, auto-fix and re-validate; otherwise raise a client request or a human escalation.</w:t>
      </w:r>
    </w:p>
    <w:p>
      <w:pPr>
        <w:pStyle w:val="ListParagraph"/>
        <w:numPr>
          <w:ilvl w:val="0"/>
          <w:numId w:val="4"/>
        </w:numPr>
        <w:spacing w:after="70" w:line="268"/>
      </w:pPr>
      <w:r>
        <w:rPr>
          <w:rFonts w:ascii="Calibri" w:cs="Calibri" w:eastAsia="Calibri" w:hAnsi="Calibri"/>
          <w:sz w:val="21"/>
          <w:szCs w:val="21"/>
        </w:rPr>
        <w:t xml:space="preserve">If only Major anomalies exist → generate a targeted client request (missing document or required change) and hold the record pending response.</w:t>
      </w:r>
    </w:p>
    <w:p>
      <w:pPr>
        <w:pStyle w:val="ListParagraph"/>
        <w:numPr>
          <w:ilvl w:val="0"/>
          <w:numId w:val="4"/>
        </w:numPr>
        <w:spacing w:after="70" w:line="268"/>
      </w:pPr>
      <w:r>
        <w:rPr>
          <w:rFonts w:ascii="Calibri" w:cs="Calibri" w:eastAsia="Calibri" w:hAnsi="Calibri"/>
          <w:sz w:val="21"/>
          <w:szCs w:val="21"/>
        </w:rPr>
        <w:t xml:space="preserve">If only Minor anomalies exist → auto-fix within limits, log, and continue; surface a summary for periodic review.</w:t>
      </w:r>
    </w:p>
    <w:p>
      <w:pPr>
        <w:pStyle w:val="ListParagraph"/>
        <w:numPr>
          <w:ilvl w:val="0"/>
          <w:numId w:val="4"/>
        </w:numPr>
        <w:spacing w:after="70" w:line="268"/>
      </w:pPr>
      <w:r>
        <w:rPr>
          <w:rFonts w:ascii="Calibri" w:cs="Calibri" w:eastAsia="Calibri" w:hAnsi="Calibri"/>
          <w:sz w:val="21"/>
          <w:szCs w:val="21"/>
        </w:rPr>
        <w:t xml:space="preserve">Informational anomalies → log only.</w:t>
      </w:r>
    </w:p>
    <w:p>
      <w:pPr>
        <w:pStyle w:val="Heading1"/>
        <w:spacing w:after="140" w:before="320"/>
      </w:pPr>
      <w:r>
        <w:rPr>
          <w:rFonts w:ascii="Calibri" w:cs="Calibri" w:eastAsia="Calibri" w:hAnsi="Calibri"/>
          <w:b/>
          <w:bCs/>
          <w:color w:val="1F3864"/>
          <w:sz w:val="30"/>
          <w:szCs w:val="30"/>
        </w:rPr>
        <w:t xml:space="preserve">8.  Automated remediation and client-request workflow</w:t>
      </w:r>
    </w:p>
    <w:p>
      <w:pPr>
        <w:pStyle w:val="Heading2"/>
        <w:spacing w:after="100" w:before="240"/>
      </w:pPr>
      <w:r>
        <w:rPr>
          <w:rFonts w:ascii="Calibri" w:cs="Calibri" w:eastAsia="Calibri" w:hAnsi="Calibri"/>
          <w:b/>
          <w:bCs/>
          <w:color w:val="2E75B6"/>
          <w:sz w:val="25"/>
          <w:szCs w:val="25"/>
        </w:rPr>
        <w:t xml:space="preserve">8.1  Decision rules for autonomous action</w:t>
      </w:r>
    </w:p>
    <w:p>
      <w:pPr>
        <w:pStyle w:val="ListParagraph"/>
        <w:numPr>
          <w:ilvl w:val="0"/>
          <w:numId w:val="2"/>
        </w:numPr>
        <w:spacing w:after="70" w:line="268"/>
      </w:pPr>
      <w:r>
        <w:rPr>
          <w:rFonts w:ascii="Calibri" w:cs="Calibri" w:eastAsia="Calibri" w:hAnsi="Calibri"/>
          <w:sz w:val="21"/>
          <w:szCs w:val="21"/>
        </w:rPr>
        <w:t xml:space="preserve">Auto-correct is permitted only for anomalies explicitly listed as auto-correctable in the client profile (e.g. line renumbering, safe rounding, canonical formatting) and only when the correction is deterministic and non-substantive.</w:t>
      </w:r>
    </w:p>
    <w:p>
      <w:pPr>
        <w:pStyle w:val="ListParagraph"/>
        <w:numPr>
          <w:ilvl w:val="0"/>
          <w:numId w:val="2"/>
        </w:numPr>
        <w:spacing w:after="70" w:line="268"/>
      </w:pPr>
      <w:r>
        <w:rPr>
          <w:rFonts w:ascii="Calibri" w:cs="Calibri" w:eastAsia="Calibri" w:hAnsi="Calibri"/>
          <w:sz w:val="21"/>
          <w:szCs w:val="21"/>
        </w:rPr>
        <w:t xml:space="preserve">The engine never changes a substantive tax attribute (rate, Natura, taxable base, counterparty identity) on its own initiative; such changes are always confirmed by the client or a human reviewer.</w:t>
      </w:r>
    </w:p>
    <w:p>
      <w:pPr>
        <w:pStyle w:val="ListParagraph"/>
        <w:numPr>
          <w:ilvl w:val="0"/>
          <w:numId w:val="2"/>
        </w:numPr>
        <w:spacing w:after="70" w:line="268"/>
      </w:pPr>
      <w:r>
        <w:rPr>
          <w:rFonts w:ascii="Calibri" w:cs="Calibri" w:eastAsia="Calibri" w:hAnsi="Calibri"/>
          <w:sz w:val="21"/>
          <w:szCs w:val="21"/>
        </w:rPr>
        <w:t xml:space="preserve">Every autonomous action is logged with before/after values and the rule that authorised it.</w:t>
      </w:r>
    </w:p>
    <w:p>
      <w:pPr>
        <w:pStyle w:val="Heading2"/>
        <w:spacing w:after="100" w:before="240"/>
      </w:pPr>
      <w:r>
        <w:rPr>
          <w:rFonts w:ascii="Calibri" w:cs="Calibri" w:eastAsia="Calibri" w:hAnsi="Calibri"/>
          <w:b/>
          <w:bCs/>
          <w:color w:val="2E75B6"/>
          <w:sz w:val="25"/>
          <w:szCs w:val="25"/>
        </w:rPr>
        <w:t xml:space="preserve">8.2  Generating a client request</w:t>
      </w:r>
    </w:p>
    <w:p>
      <w:pPr>
        <w:spacing w:after="120" w:before="0" w:line="276"/>
      </w:pPr>
      <w:r>
        <w:rPr>
          <w:rFonts w:ascii="Calibri" w:cs="Calibri" w:eastAsia="Calibri" w:hAnsi="Calibri"/>
          <w:b w:val="false"/>
          <w:bCs w:val="false"/>
          <w:i w:val="false"/>
          <w:iCs w:val="false"/>
          <w:sz w:val="21"/>
          <w:szCs w:val="21"/>
        </w:rPr>
        <w:t xml:space="preserve">When a Major/Blocking anomaly requires client input, the engine composes a request from an approved template, filled with the structured diagnosis: what is wrong, on which record/line, the expected value or the missing document, the legal reference, and the deadline. Requests are grouped per client and per document to avoid fragmentation.</w:t>
      </w:r>
    </w:p>
    <w:p>
      <w:pPr>
        <w:pStyle w:val="Heading2"/>
        <w:spacing w:after="100" w:before="240"/>
      </w:pPr>
      <w:r>
        <w:rPr>
          <w:rFonts w:ascii="Calibri" w:cs="Calibri" w:eastAsia="Calibri" w:hAnsi="Calibri"/>
          <w:b/>
          <w:bCs/>
          <w:color w:val="2E75B6"/>
          <w:sz w:val="25"/>
          <w:szCs w:val="25"/>
        </w:rPr>
        <w:t xml:space="preserve">8.3  Tracking, reminders and re-validation</w:t>
      </w:r>
    </w:p>
    <w:p>
      <w:pPr>
        <w:pStyle w:val="ListParagraph"/>
        <w:numPr>
          <w:ilvl w:val="0"/>
          <w:numId w:val="2"/>
        </w:numPr>
        <w:spacing w:after="70" w:line="268"/>
      </w:pPr>
      <w:r>
        <w:rPr>
          <w:rFonts w:ascii="Calibri" w:cs="Calibri" w:eastAsia="Calibri" w:hAnsi="Calibri"/>
          <w:sz w:val="21"/>
          <w:szCs w:val="21"/>
        </w:rPr>
        <w:t xml:space="preserve">Each request has a unique reference, an owner and a deadline taken from the client SLA.</w:t>
      </w:r>
    </w:p>
    <w:p>
      <w:pPr>
        <w:pStyle w:val="ListParagraph"/>
        <w:numPr>
          <w:ilvl w:val="0"/>
          <w:numId w:val="2"/>
        </w:numPr>
        <w:spacing w:after="70" w:line="268"/>
      </w:pPr>
      <w:r>
        <w:rPr>
          <w:rFonts w:ascii="Calibri" w:cs="Calibri" w:eastAsia="Calibri" w:hAnsi="Calibri"/>
          <w:sz w:val="21"/>
          <w:szCs w:val="21"/>
        </w:rPr>
        <w:t xml:space="preserve">Automated reminders are sent before the deadline; on expiry the item escalates per the escalation matrix.</w:t>
      </w:r>
    </w:p>
    <w:p>
      <w:pPr>
        <w:pStyle w:val="ListParagraph"/>
        <w:numPr>
          <w:ilvl w:val="0"/>
          <w:numId w:val="2"/>
        </w:numPr>
        <w:spacing w:after="70" w:line="268"/>
      </w:pPr>
      <w:r>
        <w:rPr>
          <w:rFonts w:ascii="Calibri" w:cs="Calibri" w:eastAsia="Calibri" w:hAnsi="Calibri"/>
          <w:sz w:val="21"/>
          <w:szCs w:val="21"/>
        </w:rPr>
        <w:t xml:space="preserve">Returned documents or corrections are re-ingested and re-validated from Section 5; the record is closed only when all Blocking and Major anomalies are cleared.</w:t>
      </w:r>
    </w:p>
    <w:p>
      <w:pPr>
        <w:pStyle w:val="Heading2"/>
        <w:spacing w:after="100" w:before="240"/>
      </w:pPr>
      <w:r>
        <w:rPr>
          <w:rFonts w:ascii="Calibri" w:cs="Calibri" w:eastAsia="Calibri" w:hAnsi="Calibri"/>
          <w:b/>
          <w:bCs/>
          <w:color w:val="2E75B6"/>
          <w:sz w:val="25"/>
          <w:szCs w:val="25"/>
        </w:rPr>
        <w:t xml:space="preserve">8.4  Worked example — wrong VAT rate on a cost line</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2600"/>
        <w:gridCol w:w="6800"/>
      </w:tblGrid>
      <w:tr>
        <w:trPr>
          <w:tblHeader/>
        </w:trPr>
        <w:tc>
          <w:tcPr>
            <w:tcW w:type="dxa" w:w="2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Step</w:t>
            </w:r>
          </w:p>
        </w:tc>
        <w:tc>
          <w:tcPr>
            <w:tcW w:type="dxa" w:w="68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What happens</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Detection</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Line "Hotel accommodation — Milan" carries VAT 22%. The client taxonomy maps this category to 10% (Table A, Part III).</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Classification</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 dimension, rule 6.1-c breached → Major anomaly. Observed 22% vs expected 10%.</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Diagnosis</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Probable cause: wrong rate selected at source. Recommended action: correct to 10% or provide justification for 22%.</w:t>
            </w:r>
          </w:p>
        </w:tc>
      </w:tr>
      <w:tr>
        <w:tc>
          <w:tcPr>
            <w:tcW w:type="dxa" w:w="2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Action</w:t>
            </w:r>
          </w:p>
        </w:tc>
        <w:tc>
          <w:tcPr>
            <w:tcW w:type="dxa" w:w="68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Engine issues a client request citing the line, the observed/expected rate and the legal basis; the record is held.</w:t>
            </w:r>
          </w:p>
        </w:tc>
      </w:tr>
      <w:tr>
        <w:tc>
          <w:tcPr>
            <w:tcW w:type="dxa" w:w="2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Closure</w:t>
            </w:r>
          </w:p>
        </w:tc>
        <w:tc>
          <w:tcPr>
            <w:tcW w:type="dxa" w:w="68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Client returns a corrected line (or a documented justification); the engine re-validates and, if clean, marks the record valid.</w:t>
            </w:r>
          </w:p>
        </w:tc>
      </w:tr>
    </w:tbl>
    <w:p>
      <w:pPr>
        <w:pStyle w:val="Heading1"/>
        <w:spacing w:after="140" w:before="320"/>
      </w:pPr>
      <w:r>
        <w:rPr>
          <w:rFonts w:ascii="Calibri" w:cs="Calibri" w:eastAsia="Calibri" w:hAnsi="Calibri"/>
          <w:b/>
          <w:bCs/>
          <w:color w:val="1F3864"/>
          <w:sz w:val="30"/>
          <w:szCs w:val="30"/>
        </w:rPr>
        <w:t xml:space="preserve">9.  Client communication templates</w:t>
      </w:r>
    </w:p>
    <w:p>
      <w:pPr>
        <w:spacing w:after="120" w:before="0" w:line="276"/>
      </w:pPr>
      <w:r>
        <w:rPr>
          <w:rFonts w:ascii="Calibri" w:cs="Calibri" w:eastAsia="Calibri" w:hAnsi="Calibri"/>
          <w:b w:val="false"/>
          <w:bCs w:val="false"/>
          <w:i w:val="false"/>
          <w:iCs w:val="false"/>
          <w:sz w:val="21"/>
          <w:szCs w:val="21"/>
        </w:rPr>
        <w:t xml:space="preserve">All outbound client messages use approved, versioned templates. Placeholders in braces are filled from the structured diagnosis. Tone is professional, specific and courteous.</w:t>
      </w:r>
    </w:p>
    <w:p>
      <w:pPr>
        <w:pStyle w:val="Heading2"/>
        <w:spacing w:after="100" w:before="240"/>
      </w:pPr>
      <w:r>
        <w:rPr>
          <w:rFonts w:ascii="Calibri" w:cs="Calibri" w:eastAsia="Calibri" w:hAnsi="Calibri"/>
          <w:b/>
          <w:bCs/>
          <w:color w:val="2E75B6"/>
          <w:sz w:val="25"/>
          <w:szCs w:val="25"/>
        </w:rPr>
        <w:t xml:space="preserve">9.1  Request for missing documentation</w:t>
      </w:r>
    </w:p>
    <w:p>
      <w:pPr>
        <w:pBdr>
          <w:left w:val="single" w:color="2E75B6" w:sz="18"/>
        </w:pBdr>
        <w:shd w:fill="EDF1F9" w:color="auto" w:val="clear"/>
        <w:spacing w:after="60" w:before="60" w:line="268"/>
        <w:ind w:left="200"/>
      </w:pPr>
      <w:r>
        <w:rPr>
          <w:rFonts w:ascii="Calibri" w:cs="Calibri" w:eastAsia="Calibri" w:hAnsi="Calibri"/>
          <w:sz w:val="20"/>
          <w:szCs w:val="20"/>
        </w:rPr>
        <w:t xml:space="preserve">Subject: Action required — supporting document needed for {document_ref}
</w:t>
      </w:r>
    </w:p>
    <w:p>
      <w:pPr>
        <w:spacing w:after="120" w:before="0" w:line="276"/>
      </w:pPr>
      <w:r>
        <w:rPr>
          <w:rFonts w:ascii="Calibri" w:cs="Calibri" w:eastAsia="Calibri" w:hAnsi="Calibri"/>
          <w:sz w:val="20"/>
          <w:szCs w:val="20"/>
        </w:rPr>
        <w:t xml:space="preserve">Dear {client_contact},
During validation of {document_type} No. {document_number} dated {document_date}, we identified that the following supporting document is required to complete processing: {missing_document}. This is needed because {reason / legal_reference}. Please provide it by {deadline}. If you have questions, reply to this message and we will assist. Kind regards, {sender}.</w:t>
      </w:r>
    </w:p>
    <w:p>
      <w:pPr>
        <w:pStyle w:val="Heading2"/>
        <w:spacing w:after="100" w:before="240"/>
      </w:pPr>
      <w:r>
        <w:rPr>
          <w:rFonts w:ascii="Calibri" w:cs="Calibri" w:eastAsia="Calibri" w:hAnsi="Calibri"/>
          <w:b/>
          <w:bCs/>
          <w:color w:val="2E75B6"/>
          <w:sz w:val="25"/>
          <w:szCs w:val="25"/>
        </w:rPr>
        <w:t xml:space="preserve">9.2  Request for correction (e.g. VAT rate / Natura)</w:t>
      </w:r>
    </w:p>
    <w:p>
      <w:pPr>
        <w:pBdr>
          <w:left w:val="single" w:color="2E75B6" w:sz="18"/>
        </w:pBdr>
        <w:shd w:fill="EDF1F9" w:color="auto" w:val="clear"/>
        <w:spacing w:after="60" w:before="60" w:line="268"/>
        <w:ind w:left="200"/>
      </w:pPr>
      <w:r>
        <w:rPr>
          <w:rFonts w:ascii="Calibri" w:cs="Calibri" w:eastAsia="Calibri" w:hAnsi="Calibri"/>
          <w:sz w:val="20"/>
          <w:szCs w:val="20"/>
        </w:rPr>
        <w:t xml:space="preserve">Subject: Action required — correction on {document_ref}, line {line_number}</w:t>
      </w:r>
    </w:p>
    <w:p>
      <w:pPr>
        <w:spacing w:after="120" w:before="0" w:line="276"/>
      </w:pPr>
      <w:r>
        <w:rPr>
          <w:rFonts w:ascii="Calibri" w:cs="Calibri" w:eastAsia="Calibri" w:hAnsi="Calibri"/>
          <w:sz w:val="20"/>
          <w:szCs w:val="20"/>
        </w:rPr>
        <w:t xml:space="preserve">Dear {client_contact},
On {document_type} No. {document_number}, line {line_number} ("{line_description}"), the applied {field} is {observed_value}, whereas {expected_value} is expected for this category under {legal_reference}. Please confirm the correction to {expected_value} or provide the justification/documentation supporting {observed_value} by {deadline}. Once received, we will re-validate and proceed. Kind regards, {sender}.</w:t>
      </w:r>
    </w:p>
    <w:p>
      <w:pPr>
        <w:pStyle w:val="Heading2"/>
        <w:spacing w:after="100" w:before="240"/>
      </w:pPr>
      <w:r>
        <w:rPr>
          <w:rFonts w:ascii="Calibri" w:cs="Calibri" w:eastAsia="Calibri" w:hAnsi="Calibri"/>
          <w:b/>
          <w:bCs/>
          <w:color w:val="2E75B6"/>
          <w:sz w:val="25"/>
          <w:szCs w:val="25"/>
        </w:rPr>
        <w:t xml:space="preserve">9.3  Reminder / escalation notice</w:t>
      </w:r>
    </w:p>
    <w:p>
      <w:pPr>
        <w:pBdr>
          <w:left w:val="single" w:color="2E75B6" w:sz="18"/>
        </w:pBdr>
        <w:shd w:fill="EDF1F9" w:color="auto" w:val="clear"/>
        <w:spacing w:after="60" w:before="60" w:line="268"/>
        <w:ind w:left="200"/>
      </w:pPr>
      <w:r>
        <w:rPr>
          <w:rFonts w:ascii="Calibri" w:cs="Calibri" w:eastAsia="Calibri" w:hAnsi="Calibri"/>
          <w:sz w:val="20"/>
          <w:szCs w:val="20"/>
        </w:rPr>
        <w:t xml:space="preserve">Subject: Reminder — pending item {request_ref} (due {deadline})</w:t>
      </w:r>
    </w:p>
    <w:p>
      <w:pPr>
        <w:spacing w:after="120" w:before="0" w:line="276"/>
      </w:pPr>
      <w:r>
        <w:rPr>
          <w:rFonts w:ascii="Calibri" w:cs="Calibri" w:eastAsia="Calibri" w:hAnsi="Calibri"/>
          <w:sz w:val="20"/>
          <w:szCs w:val="20"/>
        </w:rPr>
        <w:t xml:space="preserve">Dear {client_contact},
This is a reminder that request {request_ref} regarding {document_ref} is awaiting your response and is due on {deadline}. Please provide the requested {item} to avoid delay in processing. Kind regards, {sender}.</w:t>
      </w:r>
    </w:p>
    <w:p>
      <w:pPr>
        <w:pStyle w:val="Heading1"/>
        <w:spacing w:after="140" w:before="320"/>
      </w:pPr>
      <w:r>
        <w:rPr>
          <w:rFonts w:ascii="Calibri" w:cs="Calibri" w:eastAsia="Calibri" w:hAnsi="Calibri"/>
          <w:b/>
          <w:bCs/>
          <w:color w:val="1F3864"/>
          <w:sz w:val="30"/>
          <w:szCs w:val="30"/>
        </w:rPr>
        <w:t xml:space="preserve">10.  Human oversight and escalation</w:t>
      </w:r>
    </w:p>
    <w:p>
      <w:pPr>
        <w:pStyle w:val="ListParagraph"/>
        <w:numPr>
          <w:ilvl w:val="0"/>
          <w:numId w:val="2"/>
        </w:numPr>
        <w:spacing w:after="70" w:line="268"/>
      </w:pPr>
      <w:r>
        <w:rPr>
          <w:rFonts w:ascii="Calibri" w:cs="Calibri" w:eastAsia="Calibri" w:hAnsi="Calibri"/>
          <w:sz w:val="21"/>
          <w:szCs w:val="21"/>
        </w:rPr>
        <w:t xml:space="preserve">A human reviewer approves any action outside the autonomy limits, any change to a substantive tax attribute, and any exception to a Blocking rule.</w:t>
      </w:r>
    </w:p>
    <w:p>
      <w:pPr>
        <w:pStyle w:val="ListParagraph"/>
        <w:numPr>
          <w:ilvl w:val="0"/>
          <w:numId w:val="2"/>
        </w:numPr>
        <w:spacing w:after="70" w:line="268"/>
      </w:pPr>
      <w:r>
        <w:rPr>
          <w:rFonts w:ascii="Calibri" w:cs="Calibri" w:eastAsia="Calibri" w:hAnsi="Calibri"/>
          <w:sz w:val="21"/>
          <w:szCs w:val="21"/>
        </w:rPr>
        <w:t xml:space="preserve">Escalation is triggered by: unresolved Blocking anomalies, expired deadlines, repeated client non-response, conflicting evidence, or low engine confidence.</w:t>
      </w:r>
    </w:p>
    <w:p>
      <w:pPr>
        <w:pStyle w:val="ListParagraph"/>
        <w:numPr>
          <w:ilvl w:val="0"/>
          <w:numId w:val="2"/>
        </w:numPr>
        <w:spacing w:after="70" w:line="268"/>
      </w:pPr>
      <w:r>
        <w:rPr>
          <w:rFonts w:ascii="Calibri" w:cs="Calibri" w:eastAsia="Calibri" w:hAnsi="Calibri"/>
          <w:sz w:val="21"/>
          <w:szCs w:val="21"/>
        </w:rPr>
        <w:t xml:space="preserve">Reviewers can override or confirm engine decisions; overrides are logged with a reason and feed back into rule tuning.</w:t>
      </w:r>
    </w:p>
    <w:p>
      <w:pPr>
        <w:pStyle w:val="ListParagraph"/>
        <w:numPr>
          <w:ilvl w:val="0"/>
          <w:numId w:val="2"/>
        </w:numPr>
        <w:spacing w:after="70" w:line="268"/>
      </w:pPr>
      <w:r>
        <w:rPr>
          <w:rFonts w:ascii="Calibri" w:cs="Calibri" w:eastAsia="Calibri" w:hAnsi="Calibri"/>
          <w:sz w:val="21"/>
          <w:szCs w:val="21"/>
        </w:rPr>
        <w:t xml:space="preserve">Interpretative tax questions (e.g. classification doubts, need for a formal ruling / interpello) are routed to a qualified advisor rather than resolved autonomously.</w:t>
      </w:r>
    </w:p>
    <w:p>
      <w:pPr>
        <w:pStyle w:val="Heading1"/>
        <w:spacing w:after="140" w:before="320"/>
      </w:pPr>
      <w:r>
        <w:rPr>
          <w:rFonts w:ascii="Calibri" w:cs="Calibri" w:eastAsia="Calibri" w:hAnsi="Calibri"/>
          <w:b/>
          <w:bCs/>
          <w:color w:val="1F3864"/>
          <w:sz w:val="30"/>
          <w:szCs w:val="30"/>
        </w:rPr>
        <w:t xml:space="preserve">11.  Data protection and AI compliance</w:t>
      </w:r>
    </w:p>
    <w:p>
      <w:pPr>
        <w:spacing w:after="120" w:before="0" w:line="276"/>
      </w:pPr>
      <w:r>
        <w:rPr>
          <w:rFonts w:ascii="Calibri" w:cs="Calibri" w:eastAsia="Calibri" w:hAnsi="Calibri"/>
          <w:b w:val="false"/>
          <w:bCs w:val="false"/>
          <w:i w:val="false"/>
          <w:iCs w:val="false"/>
          <w:sz w:val="21"/>
          <w:szCs w:val="21"/>
        </w:rPr>
        <w:t xml:space="preserve">Because the system processes client (and possibly personal) data and takes automated actions, the following obligations apply.</w:t>
      </w:r>
    </w:p>
    <w:p>
      <w:pPr>
        <w:pStyle w:val="ListParagraph"/>
        <w:numPr>
          <w:ilvl w:val="0"/>
          <w:numId w:val="2"/>
        </w:numPr>
        <w:spacing w:after="70" w:line="268"/>
      </w:pPr>
      <w:r>
        <w:rPr>
          <w:rFonts w:ascii="Calibri" w:cs="Calibri" w:eastAsia="Calibri" w:hAnsi="Calibri"/>
          <w:b/>
          <w:bCs/>
          <w:sz w:val="21"/>
          <w:szCs w:val="21"/>
        </w:rPr>
        <w:t xml:space="preserve">GDPR (Reg. EU 2016/679) and the Italian Privacy Code (D.Lgs. 196/2003 as amended by D.Lgs. 101/2018): </w:t>
      </w:r>
      <w:r>
        <w:rPr>
          <w:rFonts w:ascii="Calibri" w:cs="Calibri" w:eastAsia="Calibri" w:hAnsi="Calibri"/>
          <w:sz w:val="21"/>
          <w:szCs w:val="21"/>
        </w:rPr>
        <w:t xml:space="preserve">define a lawful basis, apply purpose limitation and data minimisation, keep records of processing, secure the data, and set retention limits aligned to the 10-year tax-retention duty.</w:t>
      </w:r>
    </w:p>
    <w:p>
      <w:pPr>
        <w:pStyle w:val="ListParagraph"/>
        <w:numPr>
          <w:ilvl w:val="0"/>
          <w:numId w:val="2"/>
        </w:numPr>
        <w:spacing w:after="70" w:line="268"/>
      </w:pPr>
      <w:r>
        <w:rPr>
          <w:rFonts w:ascii="Calibri" w:cs="Calibri" w:eastAsia="Calibri" w:hAnsi="Calibri"/>
          <w:b/>
          <w:bCs/>
          <w:sz w:val="21"/>
          <w:szCs w:val="21"/>
        </w:rPr>
        <w:t xml:space="preserve">Automated decision-making (art. 22 GDPR): </w:t>
      </w:r>
      <w:r>
        <w:rPr>
          <w:rFonts w:ascii="Calibri" w:cs="Calibri" w:eastAsia="Calibri" w:hAnsi="Calibri"/>
          <w:sz w:val="21"/>
          <w:szCs w:val="21"/>
        </w:rPr>
        <w:t xml:space="preserve">where a decision produces legal or similarly significant effects, ensure meaningful human involvement, the ability to contest, and transparency about the logic applied.</w:t>
      </w:r>
    </w:p>
    <w:p>
      <w:pPr>
        <w:pStyle w:val="ListParagraph"/>
        <w:numPr>
          <w:ilvl w:val="0"/>
          <w:numId w:val="2"/>
        </w:numPr>
        <w:spacing w:after="70" w:line="268"/>
      </w:pPr>
      <w:r>
        <w:rPr>
          <w:rFonts w:ascii="Calibri" w:cs="Calibri" w:eastAsia="Calibri" w:hAnsi="Calibri"/>
          <w:b/>
          <w:bCs/>
          <w:sz w:val="21"/>
          <w:szCs w:val="21"/>
        </w:rPr>
        <w:t xml:space="preserve">Data Protection Impact Assessment: </w:t>
      </w:r>
      <w:r>
        <w:rPr>
          <w:rFonts w:ascii="Calibri" w:cs="Calibri" w:eastAsia="Calibri" w:hAnsi="Calibri"/>
          <w:sz w:val="21"/>
          <w:szCs w:val="21"/>
        </w:rPr>
        <w:t xml:space="preserve">conduct a DPIA for the automated processing where required by risk.</w:t>
      </w:r>
    </w:p>
    <w:p>
      <w:pPr>
        <w:pStyle w:val="ListParagraph"/>
        <w:numPr>
          <w:ilvl w:val="0"/>
          <w:numId w:val="2"/>
        </w:numPr>
        <w:spacing w:after="70" w:line="268"/>
      </w:pPr>
      <w:r>
        <w:rPr>
          <w:rFonts w:ascii="Calibri" w:cs="Calibri" w:eastAsia="Calibri" w:hAnsi="Calibri"/>
          <w:b/>
          <w:bCs/>
          <w:sz w:val="21"/>
          <w:szCs w:val="21"/>
        </w:rPr>
        <w:t xml:space="preserve">EU AI Act (Reg. EU 2024/1689): </w:t>
      </w:r>
      <w:r>
        <w:rPr>
          <w:rFonts w:ascii="Calibri" w:cs="Calibri" w:eastAsia="Calibri" w:hAnsi="Calibri"/>
          <w:sz w:val="21"/>
          <w:szCs w:val="21"/>
        </w:rPr>
        <w:t xml:space="preserve">apply the transparency, human-oversight, logging and risk-management obligations proportionate to the system’s risk classification; maintain technical documentation of the AI system.</w:t>
      </w:r>
    </w:p>
    <w:p>
      <w:pPr>
        <w:pStyle w:val="ListParagraph"/>
        <w:numPr>
          <w:ilvl w:val="0"/>
          <w:numId w:val="2"/>
        </w:numPr>
        <w:spacing w:after="70" w:line="268"/>
      </w:pPr>
      <w:r>
        <w:rPr>
          <w:rFonts w:ascii="Calibri" w:cs="Calibri" w:eastAsia="Calibri" w:hAnsi="Calibri"/>
          <w:b/>
          <w:bCs/>
          <w:sz w:val="21"/>
          <w:szCs w:val="21"/>
        </w:rPr>
        <w:t xml:space="preserve">Security: </w:t>
      </w:r>
      <w:r>
        <w:rPr>
          <w:rFonts w:ascii="Calibri" w:cs="Calibri" w:eastAsia="Calibri" w:hAnsi="Calibri"/>
          <w:sz w:val="21"/>
          <w:szCs w:val="21"/>
        </w:rPr>
        <w:t xml:space="preserve">encryption in transit and at rest, access control on a least-privilege basis, and tamper-evident audit logs.</w:t>
      </w:r>
    </w:p>
    <w:p>
      <w:pPr>
        <w:pStyle w:val="Heading1"/>
        <w:spacing w:after="140" w:before="320"/>
      </w:pPr>
      <w:r>
        <w:rPr>
          <w:rFonts w:ascii="Calibri" w:cs="Calibri" w:eastAsia="Calibri" w:hAnsi="Calibri"/>
          <w:b/>
          <w:bCs/>
          <w:color w:val="1F3864"/>
          <w:sz w:val="30"/>
          <w:szCs w:val="30"/>
        </w:rPr>
        <w:t xml:space="preserve">12.  Audit, logging, retention and metrics</w:t>
      </w:r>
    </w:p>
    <w:p>
      <w:pPr>
        <w:pStyle w:val="ListParagraph"/>
        <w:numPr>
          <w:ilvl w:val="0"/>
          <w:numId w:val="2"/>
        </w:numPr>
        <w:spacing w:after="70" w:line="268"/>
      </w:pPr>
      <w:r>
        <w:rPr>
          <w:rFonts w:ascii="Calibri" w:cs="Calibri" w:eastAsia="Calibri" w:hAnsi="Calibri"/>
          <w:sz w:val="21"/>
          <w:szCs w:val="21"/>
        </w:rPr>
        <w:t xml:space="preserve">Every record carries an immutable trail: ingestion metadata, each rule outcome, every anomaly, every action, every message and the final disposition.</w:t>
      </w:r>
    </w:p>
    <w:p>
      <w:pPr>
        <w:pStyle w:val="ListParagraph"/>
        <w:numPr>
          <w:ilvl w:val="0"/>
          <w:numId w:val="2"/>
        </w:numPr>
        <w:spacing w:after="70" w:line="268"/>
      </w:pPr>
      <w:r>
        <w:rPr>
          <w:rFonts w:ascii="Calibri" w:cs="Calibri" w:eastAsia="Calibri" w:hAnsi="Calibri"/>
          <w:sz w:val="21"/>
          <w:szCs w:val="21"/>
        </w:rPr>
        <w:t xml:space="preserve">Logs are retained for the applicable statutory period (electronic-invoice evidence: 10 years under compliant preservation).</w:t>
      </w:r>
    </w:p>
    <w:p>
      <w:pPr>
        <w:pStyle w:val="ListParagraph"/>
        <w:numPr>
          <w:ilvl w:val="0"/>
          <w:numId w:val="2"/>
        </w:numPr>
        <w:spacing w:after="70" w:line="268"/>
      </w:pPr>
      <w:r>
        <w:rPr>
          <w:rFonts w:ascii="Calibri" w:cs="Calibri" w:eastAsia="Calibri" w:hAnsi="Calibri"/>
          <w:sz w:val="21"/>
          <w:szCs w:val="21"/>
        </w:rPr>
        <w:t xml:space="preserve">Operational metrics: validation pass rate, anomaly rate by dimension and by rule, auto-fix rate, client-request volume and turnaround, deadline breaches, escalation rate, false-positive/false-negative feedback.</w:t>
      </w:r>
    </w:p>
    <w:p>
      <w:pPr>
        <w:pStyle w:val="ListParagraph"/>
        <w:numPr>
          <w:ilvl w:val="0"/>
          <w:numId w:val="2"/>
        </w:numPr>
        <w:spacing w:after="70" w:line="268"/>
      </w:pPr>
      <w:r>
        <w:rPr>
          <w:rFonts w:ascii="Calibri" w:cs="Calibri" w:eastAsia="Calibri" w:hAnsi="Calibri"/>
          <w:sz w:val="21"/>
          <w:szCs w:val="21"/>
        </w:rPr>
        <w:t xml:space="preserve">A periodic review uses these metrics to tune rules, tolerances and templates; changes are versioned.</w:t>
      </w:r>
    </w:p>
    <w:p>
      <w:pPr>
        <w:pStyle w:val="Heading1"/>
        <w:spacing w:after="140" w:before="320"/>
      </w:pPr>
      <w:r>
        <w:rPr>
          <w:rFonts w:ascii="Calibri" w:cs="Calibri" w:eastAsia="Calibri" w:hAnsi="Calibri"/>
          <w:b/>
          <w:bCs/>
          <w:color w:val="1F3864"/>
          <w:sz w:val="30"/>
          <w:szCs w:val="30"/>
        </w:rPr>
        <w:t xml:space="preserve">13.  Regulatory references and links</w:t>
      </w:r>
    </w:p>
    <w:p>
      <w:pPr>
        <w:spacing w:after="120" w:before="0" w:line="276"/>
      </w:pPr>
      <w:r>
        <w:rPr>
          <w:rFonts w:ascii="Calibri" w:cs="Calibri" w:eastAsia="Calibri" w:hAnsi="Calibri"/>
          <w:b w:val="false"/>
          <w:bCs w:val="false"/>
          <w:i w:val="false"/>
          <w:iCs w:val="false"/>
          <w:sz w:val="21"/>
          <w:szCs w:val="21"/>
        </w:rPr>
        <w:t xml:space="preserve">The full applicable rules are stated in the body of this document (Sections 5–6 and 11); the links below point to the official sources for verification. Always confirm against the official source, as figures and specifications are updated periodically.</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3600"/>
        <w:gridCol w:w="5800"/>
      </w:tblGrid>
      <w:tr>
        <w:trPr>
          <w:tblHeader/>
        </w:trPr>
        <w:tc>
          <w:tcPr>
            <w:tcW w:type="dxa" w:w="3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Source</w:t>
            </w:r>
          </w:p>
        </w:tc>
        <w:tc>
          <w:tcPr>
            <w:tcW w:type="dxa" w:w="58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Official link</w:t>
            </w:r>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DPR 633/1972 (VAT decree) — Normattiva</w:t>
            </w:r>
          </w:p>
        </w:tc>
        <w:tc>
          <w:tcPr>
            <w:tcW w:type="dxa" w:w="5800"/>
            <w:tcMar>
              <w:top w:type="dxa" w:w="60"/>
              <w:left w:type="dxa" w:w="90"/>
              <w:bottom w:type="dxa" w:w="60"/>
              <w:right w:type="dxa" w:w="90"/>
            </w:tcMar>
          </w:tcPr>
          <w:p>
            <w:pPr>
              <w:spacing w:after="20" w:line="252"/>
            </w:pPr>
            <w:hyperlink w:history="1" r:id="rId35zsb73i_ztglw_qlsltl">
              <w:r>
                <w:rPr>
                  <w:rFonts w:ascii="Calibri" w:cs="Calibri" w:eastAsia="Calibri" w:hAnsi="Calibri"/>
                  <w:color w:val="2E75B6"/>
                  <w:sz w:val="21"/>
                  <w:szCs w:val="21"/>
                  <w:u w:val="single"/>
                </w:rPr>
                <w:t xml:space="preserve">https://www.normattiva.it/uri-res/N2Ls?urn:nir:stato:decreto.del.presidente.della.repubblica:1972-10-26;633</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Testo Unico IVA — D.Lgs. 10/2026 (in force 1 Jan 2027) — Normattiva</w:t>
            </w:r>
          </w:p>
        </w:tc>
        <w:tc>
          <w:tcPr>
            <w:tcW w:type="dxa" w:w="5800"/>
            <w:shd w:fill="EDF1F9" w:color="auto" w:val="clear"/>
            <w:tcMar>
              <w:top w:type="dxa" w:w="60"/>
              <w:left w:type="dxa" w:w="90"/>
              <w:bottom w:type="dxa" w:w="60"/>
              <w:right w:type="dxa" w:w="90"/>
            </w:tcMar>
          </w:tcPr>
          <w:p>
            <w:pPr>
              <w:spacing w:after="20" w:line="252"/>
            </w:pPr>
            <w:hyperlink w:history="1" r:id="rIdncfkvpka94a-l3ricxhd0">
              <w:r>
                <w:rPr>
                  <w:rFonts w:ascii="Calibri" w:cs="Calibri" w:eastAsia="Calibri" w:hAnsi="Calibri"/>
                  <w:color w:val="2E75B6"/>
                  <w:sz w:val="21"/>
                  <w:szCs w:val="21"/>
                  <w:u w:val="single"/>
                </w:rPr>
                <w:t xml:space="preserve">https://www.normattiva.it/uri-res/N2Ls?urn:nir:stato:decreto.legislativo:2026-01-19;10</w:t>
              </w:r>
            </w:hyperlink>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EU VAT Directive 2006/112/EC — EUR-Lex</w:t>
            </w:r>
          </w:p>
        </w:tc>
        <w:tc>
          <w:tcPr>
            <w:tcW w:type="dxa" w:w="5800"/>
            <w:tcMar>
              <w:top w:type="dxa" w:w="60"/>
              <w:left w:type="dxa" w:w="90"/>
              <w:bottom w:type="dxa" w:w="60"/>
              <w:right w:type="dxa" w:w="90"/>
            </w:tcMar>
          </w:tcPr>
          <w:p>
            <w:pPr>
              <w:spacing w:after="20" w:line="252"/>
            </w:pPr>
            <w:hyperlink w:history="1" r:id="rIdybixzikcjgej0vez6zp2d">
              <w:r>
                <w:rPr>
                  <w:rFonts w:ascii="Calibri" w:cs="Calibri" w:eastAsia="Calibri" w:hAnsi="Calibri"/>
                  <w:color w:val="2E75B6"/>
                  <w:sz w:val="21"/>
                  <w:szCs w:val="21"/>
                  <w:u w:val="single"/>
                </w:rPr>
                <w:t xml:space="preserve">https://eur-lex.europa.eu/legal-content/EN/TXT/?uri=CELEX:32006L0112</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Agenzia delle Entrate — e-invoicing area</w:t>
            </w:r>
          </w:p>
        </w:tc>
        <w:tc>
          <w:tcPr>
            <w:tcW w:type="dxa" w:w="5800"/>
            <w:shd w:fill="EDF1F9" w:color="auto" w:val="clear"/>
            <w:tcMar>
              <w:top w:type="dxa" w:w="60"/>
              <w:left w:type="dxa" w:w="90"/>
              <w:bottom w:type="dxa" w:w="60"/>
              <w:right w:type="dxa" w:w="90"/>
            </w:tcMar>
          </w:tcPr>
          <w:p>
            <w:pPr>
              <w:spacing w:after="20" w:line="252"/>
            </w:pPr>
            <w:hyperlink w:history="1" r:id="rId6jmeir1atwrppwhfryuu7">
              <w:r>
                <w:rPr>
                  <w:rFonts w:ascii="Calibri" w:cs="Calibri" w:eastAsia="Calibri" w:hAnsi="Calibri"/>
                  <w:color w:val="2E75B6"/>
                  <w:sz w:val="21"/>
                  <w:szCs w:val="21"/>
                  <w:u w:val="single"/>
                </w:rPr>
                <w:t xml:space="preserve">https://www.agenziaentrate.gov.it/portale/aree-tematiche/fatturazione-elettronica</w:t>
              </w:r>
            </w:hyperlink>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Technical specifications v1.9.1 (from 15 May 2026)</w:t>
            </w:r>
          </w:p>
        </w:tc>
        <w:tc>
          <w:tcPr>
            <w:tcW w:type="dxa" w:w="5800"/>
            <w:tcMar>
              <w:top w:type="dxa" w:w="60"/>
              <w:left w:type="dxa" w:w="90"/>
              <w:bottom w:type="dxa" w:w="60"/>
              <w:right w:type="dxa" w:w="90"/>
            </w:tcMar>
          </w:tcPr>
          <w:p>
            <w:pPr>
              <w:spacing w:after="20" w:line="252"/>
            </w:pPr>
            <w:hyperlink w:history="1" r:id="rId4attolaorj59cfpz8xwme">
              <w:r>
                <w:rPr>
                  <w:rFonts w:ascii="Calibri" w:cs="Calibri" w:eastAsia="Calibri" w:hAnsi="Calibri"/>
                  <w:color w:val="2E75B6"/>
                  <w:sz w:val="21"/>
                  <w:szCs w:val="21"/>
                  <w:u w:val="single"/>
                </w:rPr>
                <w:t xml:space="preserve">https://www.agenziaentrate.gov.it/portale/specifiche-tecniche-versione-1.9.1-%C2%A0-utilizzabili-dal-15-maggio-2026-</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FatturaPA — SdI documentation portal</w:t>
            </w:r>
          </w:p>
        </w:tc>
        <w:tc>
          <w:tcPr>
            <w:tcW w:type="dxa" w:w="5800"/>
            <w:shd w:fill="EDF1F9" w:color="auto" w:val="clear"/>
            <w:tcMar>
              <w:top w:type="dxa" w:w="60"/>
              <w:left w:type="dxa" w:w="90"/>
              <w:bottom w:type="dxa" w:w="60"/>
              <w:right w:type="dxa" w:w="90"/>
            </w:tcMar>
          </w:tcPr>
          <w:p>
            <w:pPr>
              <w:spacing w:after="20" w:line="252"/>
            </w:pPr>
            <w:hyperlink w:history="1" r:id="rIdsj8xugwxehnhc661n0ka1">
              <w:r>
                <w:rPr>
                  <w:rFonts w:ascii="Calibri" w:cs="Calibri" w:eastAsia="Calibri" w:hAnsi="Calibri"/>
                  <w:color w:val="2E75B6"/>
                  <w:sz w:val="21"/>
                  <w:szCs w:val="21"/>
                  <w:u w:val="single"/>
                </w:rPr>
                <w:t xml:space="preserve">https://www.fatturapa.gov.it/</w:t>
              </w:r>
            </w:hyperlink>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L. 190/2014 (flat-rate / forfettario regime) — Normattiva</w:t>
            </w:r>
          </w:p>
        </w:tc>
        <w:tc>
          <w:tcPr>
            <w:tcW w:type="dxa" w:w="5800"/>
            <w:tcMar>
              <w:top w:type="dxa" w:w="60"/>
              <w:left w:type="dxa" w:w="90"/>
              <w:bottom w:type="dxa" w:w="60"/>
              <w:right w:type="dxa" w:w="90"/>
            </w:tcMar>
          </w:tcPr>
          <w:p>
            <w:pPr>
              <w:spacing w:after="20" w:line="252"/>
            </w:pPr>
            <w:hyperlink w:history="1" r:id="rId6ozuw2awnkafigtu_bbbo">
              <w:r>
                <w:rPr>
                  <w:rFonts w:ascii="Calibri" w:cs="Calibri" w:eastAsia="Calibri" w:hAnsi="Calibri"/>
                  <w:color w:val="2E75B6"/>
                  <w:sz w:val="21"/>
                  <w:szCs w:val="21"/>
                  <w:u w:val="single"/>
                </w:rPr>
                <w:t xml:space="preserve">https://www.normattiva.it/uri-res/N2Ls?urn:nir:stato:legge:2014-12-23;190</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GDPR — Reg. (EU) 2016/679 — EUR-Lex</w:t>
            </w:r>
          </w:p>
        </w:tc>
        <w:tc>
          <w:tcPr>
            <w:tcW w:type="dxa" w:w="5800"/>
            <w:shd w:fill="EDF1F9" w:color="auto" w:val="clear"/>
            <w:tcMar>
              <w:top w:type="dxa" w:w="60"/>
              <w:left w:type="dxa" w:w="90"/>
              <w:bottom w:type="dxa" w:w="60"/>
              <w:right w:type="dxa" w:w="90"/>
            </w:tcMar>
          </w:tcPr>
          <w:p>
            <w:pPr>
              <w:spacing w:after="20" w:line="252"/>
            </w:pPr>
            <w:hyperlink w:history="1" r:id="rIdbof7m_al7t-3w_cf-wvxk">
              <w:r>
                <w:rPr>
                  <w:rFonts w:ascii="Calibri" w:cs="Calibri" w:eastAsia="Calibri" w:hAnsi="Calibri"/>
                  <w:color w:val="2E75B6"/>
                  <w:sz w:val="21"/>
                  <w:szCs w:val="21"/>
                  <w:u w:val="single"/>
                </w:rPr>
                <w:t xml:space="preserve">https://eur-lex.europa.eu/legal-content/EN/TXT/?uri=CELEX:32016R0679</w:t>
              </w:r>
            </w:hyperlink>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Italian Privacy Code — D.Lgs. 196/2003 — Normattiva</w:t>
            </w:r>
          </w:p>
        </w:tc>
        <w:tc>
          <w:tcPr>
            <w:tcW w:type="dxa" w:w="5800"/>
            <w:tcMar>
              <w:top w:type="dxa" w:w="60"/>
              <w:left w:type="dxa" w:w="90"/>
              <w:bottom w:type="dxa" w:w="60"/>
              <w:right w:type="dxa" w:w="90"/>
            </w:tcMar>
          </w:tcPr>
          <w:p>
            <w:pPr>
              <w:spacing w:after="20" w:line="252"/>
            </w:pPr>
            <w:hyperlink w:history="1" r:id="rIdcrd0gsih36evpajht6uv8">
              <w:r>
                <w:rPr>
                  <w:rFonts w:ascii="Calibri" w:cs="Calibri" w:eastAsia="Calibri" w:hAnsi="Calibri"/>
                  <w:color w:val="2E75B6"/>
                  <w:sz w:val="21"/>
                  <w:szCs w:val="21"/>
                  <w:u w:val="single"/>
                </w:rPr>
                <w:t xml:space="preserve">https://www.normattiva.it/uri-res/N2Ls?urn:nir:stato:decreto.legislativo:2003-06-30;196</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Garante per la protezione dei dati personali</w:t>
            </w:r>
          </w:p>
        </w:tc>
        <w:tc>
          <w:tcPr>
            <w:tcW w:type="dxa" w:w="5800"/>
            <w:shd w:fill="EDF1F9" w:color="auto" w:val="clear"/>
            <w:tcMar>
              <w:top w:type="dxa" w:w="60"/>
              <w:left w:type="dxa" w:w="90"/>
              <w:bottom w:type="dxa" w:w="60"/>
              <w:right w:type="dxa" w:w="90"/>
            </w:tcMar>
          </w:tcPr>
          <w:p>
            <w:pPr>
              <w:spacing w:after="20" w:line="252"/>
            </w:pPr>
            <w:hyperlink w:history="1" r:id="rIddciqmil2m3lv4zjwuktg_">
              <w:r>
                <w:rPr>
                  <w:rFonts w:ascii="Calibri" w:cs="Calibri" w:eastAsia="Calibri" w:hAnsi="Calibri"/>
                  <w:color w:val="2E75B6"/>
                  <w:sz w:val="21"/>
                  <w:szCs w:val="21"/>
                  <w:u w:val="single"/>
                </w:rPr>
                <w:t xml:space="preserve">https://www.garanteprivacy.it/</w:t>
              </w:r>
            </w:hyperlink>
          </w:p>
        </w:tc>
      </w:tr>
      <w:tr>
        <w:tc>
          <w:tcPr>
            <w:tcW w:type="dxa" w:w="3600"/>
            <w:tcMar>
              <w:top w:type="dxa" w:w="60"/>
              <w:left w:type="dxa" w:w="90"/>
              <w:bottom w:type="dxa" w:w="60"/>
              <w:right w:type="dxa" w:w="90"/>
            </w:tcMar>
          </w:tcPr>
          <w:p>
            <w:pPr>
              <w:spacing w:after="20" w:line="252"/>
            </w:pPr>
            <w:r>
              <w:rPr>
                <w:rFonts w:ascii="Calibri" w:cs="Calibri" w:eastAsia="Calibri" w:hAnsi="Calibri"/>
                <w:b/>
                <w:bCs/>
                <w:sz w:val="20"/>
                <w:szCs w:val="20"/>
              </w:rPr>
              <w:t xml:space="preserve">EU AI Act — Reg. (EU) 2024/1689 — EUR-Lex</w:t>
            </w:r>
          </w:p>
        </w:tc>
        <w:tc>
          <w:tcPr>
            <w:tcW w:type="dxa" w:w="5800"/>
            <w:tcMar>
              <w:top w:type="dxa" w:w="60"/>
              <w:left w:type="dxa" w:w="90"/>
              <w:bottom w:type="dxa" w:w="60"/>
              <w:right w:type="dxa" w:w="90"/>
            </w:tcMar>
          </w:tcPr>
          <w:p>
            <w:pPr>
              <w:spacing w:after="20" w:line="252"/>
            </w:pPr>
            <w:hyperlink w:history="1" r:id="rIdf7vzgw8cod7jwl1k4lud-">
              <w:r>
                <w:rPr>
                  <w:rFonts w:ascii="Calibri" w:cs="Calibri" w:eastAsia="Calibri" w:hAnsi="Calibri"/>
                  <w:color w:val="2E75B6"/>
                  <w:sz w:val="21"/>
                  <w:szCs w:val="21"/>
                  <w:u w:val="single"/>
                </w:rPr>
                <w:t xml:space="preserve">https://eur-lex.europa.eu/legal-content/EN/TXT/?uri=CELEX:32024R1689</w:t>
              </w:r>
            </w:hyperlink>
          </w:p>
        </w:tc>
      </w:tr>
      <w:tr>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bCs/>
                <w:sz w:val="20"/>
                <w:szCs w:val="20"/>
              </w:rPr>
              <w:t xml:space="preserve">AgID — digital preservation (conservazione) guidelines</w:t>
            </w:r>
          </w:p>
        </w:tc>
        <w:tc>
          <w:tcPr>
            <w:tcW w:type="dxa" w:w="5800"/>
            <w:shd w:fill="EDF1F9" w:color="auto" w:val="clear"/>
            <w:tcMar>
              <w:top w:type="dxa" w:w="60"/>
              <w:left w:type="dxa" w:w="90"/>
              <w:bottom w:type="dxa" w:w="60"/>
              <w:right w:type="dxa" w:w="90"/>
            </w:tcMar>
          </w:tcPr>
          <w:p>
            <w:pPr>
              <w:spacing w:after="20" w:line="252"/>
            </w:pPr>
            <w:hyperlink w:history="1" r:id="rIdaox6l6wryn99zg8wt8m5e">
              <w:r>
                <w:rPr>
                  <w:rFonts w:ascii="Calibri" w:cs="Calibri" w:eastAsia="Calibri" w:hAnsi="Calibri"/>
                  <w:color w:val="2E75B6"/>
                  <w:sz w:val="21"/>
                  <w:szCs w:val="21"/>
                  <w:u w:val="single"/>
                </w:rPr>
                <w:t xml:space="preserve">https://www.agid.gov.it/it/piattaforme/conservazione</w:t>
              </w:r>
            </w:hyperlink>
          </w:p>
        </w:tc>
      </w:tr>
    </w:tbl>
    <w:p>
      <w:r>
        <w:br w:type="page"/>
      </w:r>
    </w:p>
    <w:p>
      <w:pPr>
        <w:pStyle w:val="Heading1"/>
        <w:spacing w:after="140" w:before="320"/>
      </w:pPr>
      <w:r>
        <w:rPr>
          <w:rFonts w:ascii="Calibri" w:cs="Calibri" w:eastAsia="Calibri" w:hAnsi="Calibri"/>
          <w:b/>
          <w:bCs/>
          <w:color w:val="1F3864"/>
          <w:sz w:val="30"/>
          <w:szCs w:val="30"/>
        </w:rPr>
        <w:t xml:space="preserve">Appendix A — Consolidated rule catalogue</w:t>
      </w:r>
    </w:p>
    <w:p>
      <w:pPr>
        <w:spacing w:after="120" w:before="0" w:line="276"/>
      </w:pPr>
      <w:r>
        <w:rPr>
          <w:rFonts w:ascii="Calibri" w:cs="Calibri" w:eastAsia="Calibri" w:hAnsi="Calibri"/>
          <w:b w:val="false"/>
          <w:bCs w:val="false"/>
          <w:i w:val="false"/>
          <w:iCs w:val="false"/>
          <w:sz w:val="21"/>
          <w:szCs w:val="21"/>
        </w:rPr>
        <w:t xml:space="preserve">A machine-readable version of this catalogue drives the engine; each rule has an ID, the dimension, the check, the default severity and the default action.</w:t>
      </w:r>
    </w:p>
    <w:tbl>
      <w:tblPr>
        <w:tblW w:type="dxa" w:w="9400"/>
        <w:tblBorders>
          <w:top w:val="single" w:color="BFBFBF" w:sz="4"/>
          <w:left w:val="single" w:color="BFBFBF" w:sz="4"/>
          <w:bottom w:val="single" w:color="BFBFBF" w:sz="4"/>
          <w:right w:val="single" w:color="BFBFBF" w:sz="4"/>
          <w:insideH w:val="single" w:color="BFBFBF" w:sz="4"/>
          <w:insideV w:val="single" w:color="BFBFBF" w:sz="4"/>
        </w:tblBorders>
      </w:tblPr>
      <w:tblGrid>
        <w:gridCol w:w="1200"/>
        <w:gridCol w:w="1700"/>
        <w:gridCol w:w="3600"/>
        <w:gridCol w:w="1300"/>
        <w:gridCol w:w="1600"/>
      </w:tblGrid>
      <w:tr>
        <w:trPr>
          <w:tblHeader/>
        </w:trPr>
        <w:tc>
          <w:tcPr>
            <w:tcW w:type="dxa" w:w="12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Rule ID</w:t>
            </w:r>
          </w:p>
        </w:tc>
        <w:tc>
          <w:tcPr>
            <w:tcW w:type="dxa" w:w="17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Dimension</w:t>
            </w:r>
          </w:p>
        </w:tc>
        <w:tc>
          <w:tcPr>
            <w:tcW w:type="dxa" w:w="3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Check</w:t>
            </w:r>
          </w:p>
        </w:tc>
        <w:tc>
          <w:tcPr>
            <w:tcW w:type="dxa" w:w="13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Severity</w:t>
            </w:r>
          </w:p>
        </w:tc>
        <w:tc>
          <w:tcPr>
            <w:tcW w:type="dxa" w:w="1600"/>
            <w:shd w:fill="1F3864" w:color="auto" w:val="clear"/>
            <w:tcMar>
              <w:top w:type="dxa" w:w="60"/>
              <w:left w:type="dxa" w:w="90"/>
              <w:bottom w:type="dxa" w:w="60"/>
              <w:right w:type="dxa" w:w="90"/>
            </w:tcMar>
          </w:tcPr>
          <w:p>
            <w:pPr>
              <w:spacing w:after="20" w:line="252"/>
            </w:pPr>
            <w:r>
              <w:rPr>
                <w:rFonts w:ascii="Calibri" w:cs="Calibri" w:eastAsia="Calibri" w:hAnsi="Calibri"/>
                <w:b/>
                <w:bCs/>
                <w:color w:val="FFFFFF"/>
                <w:sz w:val="20"/>
                <w:szCs w:val="20"/>
              </w:rPr>
              <w:t xml:space="preserve">Action</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FMT-01</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Format</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File parses; UTF-8; not empty/truncated.</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Reject / 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FMT-02</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Format</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FatturaPA validates vs XSD v1.2.3 &amp; Spec. v1.9.1.</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Reject / 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FMT-03</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Format</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Identifiers well-formed (P.IVA, CF, IBAN, Cod. Dest.).</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FMT-04</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Format</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Electronic signature present &amp; valid.</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Reject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STR-01</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Structural</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Document type recognised (TD01–TD29).</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Escalate</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STR-02</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Structural</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Mandatory blocks/fields present; cardinality respected.</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STR-03</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Structural</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Field patterns match expected shapes.</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Minor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Auto-fix / log</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SEM-01</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Semantic</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Natura code valid with mandatory sub-code.</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SEM-02</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Semantic</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VAT rate is a legally admissible value.</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SEM-03</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Semantic</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Counterparty resolves (P.IVA/VIES; Group CF).</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CON-01</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Content</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All mandatory fields populated.</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CON-02</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Content</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Required supporting documents attached &amp; legible.</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CON-03</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Content</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Mandatory legal wording present (split/reverse).</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CON-04</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Content</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Values within admissible ranges.</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Minor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Log / 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CST-01</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Line total = qty × unit price − discounts.</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Recompute/request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CST-02</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Tax = base × rate; totals reconcile.</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Recompute/request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CST-03</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Rate/Natura mutual exclusivity.</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CST-04</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Applied rate matches category mapping.</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CST-05</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Cross-document references valid.</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Major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Request</w:t>
            </w:r>
          </w:p>
        </w:tc>
      </w:tr>
      <w:tr>
        <w:tc>
          <w:tcPr>
            <w:tcW w:type="dxa" w:w="12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CST-06</w:t>
            </w:r>
          </w:p>
        </w:tc>
        <w:tc>
          <w:tcPr>
            <w:tcW w:type="dxa" w:w="17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Issuer ≠ recipient; ≥1 identifier present.</w:t>
            </w:r>
          </w:p>
        </w:tc>
        <w:tc>
          <w:tcPr>
            <w:tcW w:type="dxa" w:w="13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Blocking</w:t>
            </w:r>
          </w:p>
        </w:tc>
        <w:tc>
          <w:tcPr>
            <w:tcW w:type="dxa" w:w="1600"/>
            <w:shd w:fill="EDF1F9" w:color="auto" w:val="clear"/>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Escalate/request</w:t>
            </w:r>
          </w:p>
        </w:tc>
      </w:tr>
      <w:tr>
        <w:tc>
          <w:tcPr>
            <w:tcW w:type="dxa" w:w="12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CST-07</w:t>
            </w:r>
          </w:p>
        </w:tc>
        <w:tc>
          <w:tcPr>
            <w:tcW w:type="dxa" w:w="17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Consistency</w:t>
            </w:r>
          </w:p>
        </w:tc>
        <w:tc>
          <w:tcPr>
            <w:tcW w:type="dxa" w:w="3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Temporal coherence &amp; progressive numbering.</w:t>
            </w:r>
          </w:p>
        </w:tc>
        <w:tc>
          <w:tcPr>
            <w:tcW w:type="dxa" w:w="13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Minor</w:t>
            </w:r>
          </w:p>
        </w:tc>
        <w:tc>
          <w:tcPr>
            <w:tcW w:type="dxa" w:w="1600"/>
            <w:tcMar>
              <w:top w:type="dxa" w:w="60"/>
              <w:left w:type="dxa" w:w="90"/>
              <w:bottom w:type="dxa" w:w="60"/>
              <w:right w:type="dxa" w:w="90"/>
            </w:tcMar>
          </w:tcPr>
          <w:p>
            <w:pPr>
              <w:spacing w:after="20" w:line="252"/>
            </w:pPr>
            <w:r>
              <w:rPr>
                <w:rFonts w:ascii="Calibri" w:cs="Calibri" w:eastAsia="Calibri" w:hAnsi="Calibri"/>
                <w:b w:val="false"/>
                <w:bCs w:val="false"/>
                <w:sz w:val="20"/>
                <w:szCs w:val="20"/>
              </w:rPr>
              <w:t xml:space="preserve">Log / request</w:t>
            </w:r>
          </w:p>
        </w:tc>
      </w:tr>
    </w:tbl>
    <w:p>
      <w:pPr>
        <w:pStyle w:val="Heading1"/>
        <w:spacing w:after="140" w:before="320"/>
      </w:pPr>
      <w:r>
        <w:rPr>
          <w:rFonts w:ascii="Calibri" w:cs="Calibri" w:eastAsia="Calibri" w:hAnsi="Calibri"/>
          <w:b/>
          <w:bCs/>
          <w:color w:val="1F3864"/>
          <w:sz w:val="30"/>
          <w:szCs w:val="30"/>
        </w:rPr>
        <w:t xml:space="preserve">Appendix B — Remediation decision flow</w:t>
      </w:r>
    </w:p>
    <w:p>
      <w:pPr>
        <w:pStyle w:val="ListParagraph"/>
        <w:numPr>
          <w:ilvl w:val="0"/>
          <w:numId w:val="5"/>
        </w:numPr>
        <w:spacing w:after="70" w:line="268"/>
      </w:pPr>
      <w:r>
        <w:rPr>
          <w:rFonts w:ascii="Calibri" w:cs="Calibri" w:eastAsia="Calibri" w:hAnsi="Calibri"/>
          <w:sz w:val="21"/>
          <w:szCs w:val="21"/>
        </w:rPr>
        <w:t xml:space="preserve">Ingest &amp; normalise the record.</w:t>
      </w:r>
    </w:p>
    <w:p>
      <w:pPr>
        <w:pStyle w:val="ListParagraph"/>
        <w:numPr>
          <w:ilvl w:val="0"/>
          <w:numId w:val="5"/>
        </w:numPr>
        <w:spacing w:after="70" w:line="268"/>
      </w:pPr>
      <w:r>
        <w:rPr>
          <w:rFonts w:ascii="Calibri" w:cs="Calibri" w:eastAsia="Calibri" w:hAnsi="Calibri"/>
          <w:sz w:val="21"/>
          <w:szCs w:val="21"/>
        </w:rPr>
        <w:t xml:space="preserve">Run FMT → STR → SEM → CON → CST checks; collect anomalies.</w:t>
      </w:r>
    </w:p>
    <w:p>
      <w:pPr>
        <w:pStyle w:val="ListParagraph"/>
        <w:numPr>
          <w:ilvl w:val="0"/>
          <w:numId w:val="5"/>
        </w:numPr>
        <w:spacing w:after="70" w:line="268"/>
      </w:pPr>
      <w:r>
        <w:rPr>
          <w:rFonts w:ascii="Calibri" w:cs="Calibri" w:eastAsia="Calibri" w:hAnsi="Calibri"/>
          <w:sz w:val="21"/>
          <w:szCs w:val="21"/>
        </w:rPr>
        <w:t xml:space="preserve">Any Blocking? → if auto-correctable within limits, fix and re-validate; else request/escalate and hold.</w:t>
      </w:r>
    </w:p>
    <w:p>
      <w:pPr>
        <w:pStyle w:val="ListParagraph"/>
        <w:numPr>
          <w:ilvl w:val="0"/>
          <w:numId w:val="5"/>
        </w:numPr>
        <w:spacing w:after="70" w:line="268"/>
      </w:pPr>
      <w:r>
        <w:rPr>
          <w:rFonts w:ascii="Calibri" w:cs="Calibri" w:eastAsia="Calibri" w:hAnsi="Calibri"/>
          <w:sz w:val="21"/>
          <w:szCs w:val="21"/>
        </w:rPr>
        <w:t xml:space="preserve">Any Major? → generate targeted client request (document or correction); hold; track deadline.</w:t>
      </w:r>
    </w:p>
    <w:p>
      <w:pPr>
        <w:pStyle w:val="ListParagraph"/>
        <w:numPr>
          <w:ilvl w:val="0"/>
          <w:numId w:val="5"/>
        </w:numPr>
        <w:spacing w:after="70" w:line="268"/>
      </w:pPr>
      <w:r>
        <w:rPr>
          <w:rFonts w:ascii="Calibri" w:cs="Calibri" w:eastAsia="Calibri" w:hAnsi="Calibri"/>
          <w:sz w:val="21"/>
          <w:szCs w:val="21"/>
        </w:rPr>
        <w:t xml:space="preserve">Only Minor? → auto-fix within limits; log; continue.</w:t>
      </w:r>
    </w:p>
    <w:p>
      <w:pPr>
        <w:pStyle w:val="ListParagraph"/>
        <w:numPr>
          <w:ilvl w:val="0"/>
          <w:numId w:val="5"/>
        </w:numPr>
        <w:spacing w:after="70" w:line="268"/>
      </w:pPr>
      <w:r>
        <w:rPr>
          <w:rFonts w:ascii="Calibri" w:cs="Calibri" w:eastAsia="Calibri" w:hAnsi="Calibri"/>
          <w:sz w:val="21"/>
          <w:szCs w:val="21"/>
        </w:rPr>
        <w:t xml:space="preserve">On client response → re-ingest &amp; re-validate; close when all Blocking/Major cleared.</w:t>
      </w:r>
    </w:p>
    <w:p>
      <w:pPr>
        <w:pStyle w:val="ListParagraph"/>
        <w:numPr>
          <w:ilvl w:val="0"/>
          <w:numId w:val="5"/>
        </w:numPr>
        <w:spacing w:after="70" w:line="268"/>
      </w:pPr>
      <w:r>
        <w:rPr>
          <w:rFonts w:ascii="Calibri" w:cs="Calibri" w:eastAsia="Calibri" w:hAnsi="Calibri"/>
          <w:sz w:val="21"/>
          <w:szCs w:val="21"/>
        </w:rPr>
        <w:t xml:space="preserve">On deadline breach or conflict → escalate per matrix to human review.</w:t>
      </w:r>
    </w:p>
    <w:p>
      <w:pPr>
        <w:pStyle w:val="ListParagraph"/>
        <w:numPr>
          <w:ilvl w:val="0"/>
          <w:numId w:val="5"/>
        </w:numPr>
        <w:spacing w:after="70" w:line="268"/>
      </w:pPr>
      <w:r>
        <w:rPr>
          <w:rFonts w:ascii="Calibri" w:cs="Calibri" w:eastAsia="Calibri" w:hAnsi="Calibri"/>
          <w:sz w:val="21"/>
          <w:szCs w:val="21"/>
        </w:rPr>
        <w:t xml:space="preserve">Archive full evidence trail; update metrics.</w:t>
      </w:r>
    </w:p>
    <w:p>
      <w:pPr>
        <w:spacing w:after="200"/>
      </w:pPr>
      <w:r>
        <w:rPr>
          <w:rFonts w:ascii="Calibri" w:cs="Calibri" w:eastAsia="Calibri" w:hAnsi="Calibri"/>
        </w:rPr>
        <w:t xml:space="preserve"/>
      </w:r>
    </w:p>
    <w:p>
      <w:pPr>
        <w:pBdr>
          <w:bottom w:val="single" w:color="2E75B6" w:sz="6"/>
        </w:pBdr>
        <w:spacing w:after="80" w:before="60"/>
      </w:pPr>
      <w:r>
        <w:rPr>
          <w:rFonts w:ascii="Calibri" w:cs="Calibri" w:eastAsia="Calibri" w:hAnsi="Calibri"/>
        </w:rPr>
        <w:t xml:space="preserve"/>
      </w:r>
    </w:p>
    <w:p>
      <w:pPr>
        <w:spacing w:after="0" w:before="0" w:line="276"/>
      </w:pPr>
      <w:r>
        <w:rPr>
          <w:rFonts w:ascii="Calibri" w:cs="Calibri" w:eastAsia="Calibri" w:hAnsi="Calibri"/>
          <w:b/>
          <w:bCs/>
          <w:color w:val="1F3864"/>
          <w:sz w:val="20"/>
          <w:szCs w:val="20"/>
        </w:rPr>
        <w:t xml:space="preserve">End of document. </w:t>
      </w:r>
      <w:r>
        <w:rPr>
          <w:rFonts w:ascii="Calibri" w:cs="Calibri" w:eastAsia="Calibri" w:hAnsi="Calibri"/>
          <w:i/>
          <w:iCs/>
          <w:color w:val="595959"/>
          <w:sz w:val="19"/>
          <w:szCs w:val="19"/>
        </w:rPr>
        <w:t xml:space="preserve">This rulebook states the applicable rules in force at the time of issue. Confirm all rates, codes and technical specifications against the official sources in Section 13 before go-live and at each review cycle.</w:t>
      </w:r>
    </w:p>
    <w:sectPr>
      <w:headerReference w:type="default" r:id="rId7"/>
      <w:footerReference w:type="default" r:id="rId8"/>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pBdr>
      <w:spacing w:before="60"/>
      <w:jc w:val="center"/>
    </w:pPr>
    <w:r>
      <w:rPr>
        <w:rFonts w:ascii="Calibri" w:cs="Calibri" w:eastAsia="Calibri" w:hAnsi="Calibri"/>
        <w:color w:val="595959"/>
        <w:sz w:val="16"/>
        <w:szCs w:val="16"/>
      </w:rPr>
      <w:t xml:space="preserve">Confidential  ·  Version 1.0  ·  Page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of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spacing w:after="60"/>
    </w:pPr>
    <w:r>
      <w:rPr>
        <w:rFonts w:ascii="Calibri" w:cs="Calibri" w:eastAsia="Calibri" w:hAnsi="Calibri"/>
        <w:color w:val="595959"/>
        <w:sz w:val="16"/>
        <w:szCs w:val="16"/>
      </w:rPr>
      <w:t xml:space="preserve">Agentic AI — Data-Flow Validation &amp; Client Remediation Rulebook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260"/>
      </w:pPr>
    </w:lvl>
  </w:abstractNum>
  <w:abstractNum w:abstractNumId="4" w15:restartNumberingAfterBreak="0">
    <w:multiLevelType w:val="hybridMultilevel"/>
    <w:lvl w:ilvl="0" w15:tentative="1">
      <w:start w:val="1"/>
      <w:numFmt w:val="decimal"/>
      <w:lvlText w:val="%1."/>
      <w:lvlJc w:val="left"/>
      <w:pPr>
        <w:ind w:left="400" w:hanging="260"/>
      </w:pPr>
    </w:lvl>
  </w:abstractNum>
  <w:abstractNum w:abstractNumId="5" w15:restartNumberingAfterBreak="0">
    <w:multiLevelType w:val="hybridMultilevel"/>
    <w:lvl w:ilvl="0" w15:tentative="1">
      <w:start w:val="1"/>
      <w:numFmt w:val="decimal"/>
      <w:lvlText w:val="%1."/>
      <w:lvlJc w:val="left"/>
      <w:pPr>
        <w:ind w:left="4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62626"/>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5zsb73i_ztglw_qlsltl" Type="http://schemas.openxmlformats.org/officeDocument/2006/relationships/hyperlink" Target="https://www.normattiva.it/uri-res/N2Ls?urn:nir:stato:decreto.del.presidente.della.repubblica:1972-10-26;633" TargetMode="External"/><Relationship Id="rIdncfkvpka94a-l3ricxhd0" Type="http://schemas.openxmlformats.org/officeDocument/2006/relationships/hyperlink" Target="https://www.normattiva.it/uri-res/N2Ls?urn:nir:stato:decreto.legislativo:2026-01-19;10" TargetMode="External"/><Relationship Id="rIdybixzikcjgej0vez6zp2d" Type="http://schemas.openxmlformats.org/officeDocument/2006/relationships/hyperlink" Target="https://eur-lex.europa.eu/legal-content/EN/TXT/?uri=CELEX:32006L0112" TargetMode="External"/><Relationship Id="rId6jmeir1atwrppwhfryuu7" Type="http://schemas.openxmlformats.org/officeDocument/2006/relationships/hyperlink" Target="https://www.agenziaentrate.gov.it/portale/aree-tematiche/fatturazione-elettronica" TargetMode="External"/><Relationship Id="rId4attolaorj59cfpz8xwme" Type="http://schemas.openxmlformats.org/officeDocument/2006/relationships/hyperlink" Target="https://www.agenziaentrate.gov.it/portale/specifiche-tecniche-versione-1.9.1-%C2%A0-utilizzabili-dal-15-maggio-2026-" TargetMode="External"/><Relationship Id="rIdsj8xugwxehnhc661n0ka1" Type="http://schemas.openxmlformats.org/officeDocument/2006/relationships/hyperlink" Target="https://www.fatturapa.gov.it/" TargetMode="External"/><Relationship Id="rId6ozuw2awnkafigtu_bbbo" Type="http://schemas.openxmlformats.org/officeDocument/2006/relationships/hyperlink" Target="https://www.normattiva.it/uri-res/N2Ls?urn:nir:stato:legge:2014-12-23;190" TargetMode="External"/><Relationship Id="rIdbof7m_al7t-3w_cf-wvxk" Type="http://schemas.openxmlformats.org/officeDocument/2006/relationships/hyperlink" Target="https://eur-lex.europa.eu/legal-content/EN/TXT/?uri=CELEX:32016R0679" TargetMode="External"/><Relationship Id="rIdcrd0gsih36evpajht6uv8" Type="http://schemas.openxmlformats.org/officeDocument/2006/relationships/hyperlink" Target="https://www.normattiva.it/uri-res/N2Ls?urn:nir:stato:decreto.legislativo:2003-06-30;196" TargetMode="External"/><Relationship Id="rIddciqmil2m3lv4zjwuktg_" Type="http://schemas.openxmlformats.org/officeDocument/2006/relationships/hyperlink" Target="https://www.garanteprivacy.it/" TargetMode="External"/><Relationship Id="rIdf7vzgw8cod7jwl1k4lud-" Type="http://schemas.openxmlformats.org/officeDocument/2006/relationships/hyperlink" Target="https://eur-lex.europa.eu/legal-content/EN/TXT/?uri=CELEX:32024R1689" TargetMode="External"/><Relationship Id="rIdaox6l6wryn99zg8wt8m5e" Type="http://schemas.openxmlformats.org/officeDocument/2006/relationships/hyperlink" Target="https://www.agid.gov.it/it/piattaforme/conservazione"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Agentic AI System for Automated Data-Flow Validation and Client Remediation</dc:title>
  <dc:creator>Validation Framework</dc:creator>
  <dc:description>Functional and regulatory specification / operating rulebook</dc:description>
  <cp:lastModifiedBy>Un-named</cp:lastModifiedBy>
  <cp:revision>1</cp:revision>
  <dcterms:created xsi:type="dcterms:W3CDTF">2026-09-09T16:37:38.446Z</dcterms:created>
  <dcterms:modified xsi:type="dcterms:W3CDTF">2026-09-09T16:37:38.447Z</dcterms:modified>
</cp:coreProperties>
</file>

<file path=docProps/custom.xml><?xml version="1.0" encoding="utf-8"?>
<Properties xmlns="http://schemas.openxmlformats.org/officeDocument/2006/custom-properties" xmlns:vt="http://schemas.openxmlformats.org/officeDocument/2006/docPropsVTypes"/>
</file>