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5B48"/>
          <w:sz w:val="40"/>
        </w:rPr>
        <w:t>🧭 When a Curriculum Isn’t Working</w:t>
      </w:r>
    </w:p>
    <w:p>
      <w:pPr>
        <w:jc w:val="center"/>
      </w:pPr>
      <w:r>
        <w:rPr>
          <w:i/>
          <w:color w:val="8A6D5A"/>
          <w:sz w:val="28"/>
        </w:rPr>
        <w:t>A Grace-Filled Guide for Homeschool Moms</w:t>
      </w:r>
    </w:p>
    <w:p/>
    <w:p>
      <w:r>
        <w:rPr>
          <w:b/>
          <w:color w:val="6D7B6D"/>
          <w:sz w:val="28"/>
        </w:rPr>
        <w:t>1️⃣ Step 1: Pause and Observe</w:t>
      </w:r>
    </w:p>
    <w:p>
      <w:pPr>
        <w:pStyle w:val="ListBullet"/>
      </w:pPr>
      <w:r>
        <w:rPr>
          <w:color w:val="333333"/>
          <w:sz w:val="22"/>
        </w:rPr>
        <w:t>☐ Is my child frustrated, bored, or confused?</w:t>
      </w:r>
    </w:p>
    <w:p>
      <w:pPr>
        <w:pStyle w:val="ListBullet"/>
      </w:pPr>
      <w:r>
        <w:rPr>
          <w:color w:val="333333"/>
          <w:sz w:val="22"/>
        </w:rPr>
        <w:t>☐ Am I dreading teaching this subject?</w:t>
      </w:r>
    </w:p>
    <w:p>
      <w:pPr>
        <w:pStyle w:val="ListBullet"/>
      </w:pPr>
      <w:r>
        <w:rPr>
          <w:color w:val="333333"/>
          <w:sz w:val="22"/>
        </w:rPr>
        <w:t>☐ Is the issue the curriculum (content/approach) or the method (how we’re using it)?</w:t>
      </w:r>
    </w:p>
    <w:p>
      <w:pPr>
        <w:pStyle w:val="ListBullet"/>
      </w:pPr>
      <w:r>
        <w:rPr>
          <w:color w:val="333333"/>
          <w:sz w:val="22"/>
        </w:rPr>
        <w:t>☐ Is this a short-term slump (burnout, schedule, life season)?</w:t>
      </w:r>
    </w:p>
    <w:p>
      <w:r>
        <w:rPr>
          <w:b/>
          <w:color w:val="6D7B6D"/>
          <w:sz w:val="28"/>
        </w:rPr>
        <w:t>2️⃣ Step 2: Clarify the Root Cause</w:t>
      </w:r>
    </w:p>
    <w:p>
      <w:pPr>
        <w:pStyle w:val="ListBullet"/>
      </w:pPr>
      <w:r>
        <w:rPr>
          <w:color w:val="333333"/>
          <w:sz w:val="22"/>
        </w:rPr>
        <w:t>☐ Too hard / too easy</w:t>
      </w:r>
    </w:p>
    <w:p>
      <w:pPr>
        <w:pStyle w:val="ListBullet"/>
      </w:pPr>
      <w:r>
        <w:rPr>
          <w:color w:val="333333"/>
          <w:sz w:val="22"/>
        </w:rPr>
        <w:t>☐ Teaching style doesn’t match learning style</w:t>
      </w:r>
    </w:p>
    <w:p>
      <w:pPr>
        <w:pStyle w:val="ListBullet"/>
      </w:pPr>
      <w:r>
        <w:rPr>
          <w:color w:val="333333"/>
          <w:sz w:val="22"/>
        </w:rPr>
        <w:t>☐ Too time-intensive for our current season</w:t>
      </w:r>
    </w:p>
    <w:p>
      <w:pPr>
        <w:pStyle w:val="ListBullet"/>
      </w:pPr>
      <w:r>
        <w:rPr>
          <w:color w:val="333333"/>
          <w:sz w:val="22"/>
        </w:rPr>
        <w:t>☐ Doesn’t align with our values or goals</w:t>
      </w:r>
    </w:p>
    <w:p>
      <w:pPr>
        <w:pStyle w:val="ListBullet"/>
      </w:pPr>
      <w:r>
        <w:rPr>
          <w:color w:val="333333"/>
          <w:sz w:val="22"/>
        </w:rPr>
        <w:t>☐ Child’s needs have changed (developmental leap, interest shift, etc.)</w:t>
      </w:r>
    </w:p>
    <w:p>
      <w:r>
        <w:rPr>
          <w:b/>
          <w:color w:val="6D7B6D"/>
          <w:sz w:val="28"/>
        </w:rPr>
        <w:t>3️⃣ Step 3: Research with Purpose</w:t>
      </w:r>
    </w:p>
    <w:p>
      <w:pPr>
        <w:pStyle w:val="ListBullet"/>
      </w:pPr>
      <w:r>
        <w:rPr>
          <w:color w:val="333333"/>
          <w:sz w:val="22"/>
        </w:rPr>
        <w:t>☐ Look for scope &amp; sequence charts from the new curriculum</w:t>
      </w:r>
    </w:p>
    <w:p>
      <w:pPr>
        <w:pStyle w:val="ListBullet"/>
      </w:pPr>
      <w:r>
        <w:rPr>
          <w:color w:val="333333"/>
          <w:sz w:val="22"/>
        </w:rPr>
        <w:t>☐ Take any available placement tests</w:t>
      </w:r>
    </w:p>
    <w:p>
      <w:pPr>
        <w:pStyle w:val="ListBullet"/>
      </w:pPr>
      <w:r>
        <w:rPr>
          <w:color w:val="333333"/>
          <w:sz w:val="22"/>
        </w:rPr>
        <w:t>☐ Watch sample lessons or flip-through videos</w:t>
      </w:r>
    </w:p>
    <w:p>
      <w:pPr>
        <w:pStyle w:val="ListBullet"/>
      </w:pPr>
      <w:r>
        <w:rPr>
          <w:color w:val="333333"/>
          <w:sz w:val="22"/>
        </w:rPr>
        <w:t>☐ Ask: “Does this fix the problem I identified in Step 2?”</w:t>
      </w:r>
    </w:p>
    <w:p>
      <w:r>
        <w:rPr>
          <w:b/>
          <w:color w:val="6D7B6D"/>
          <w:sz w:val="28"/>
        </w:rPr>
        <w:t>4️⃣ Step 4: Transition Gracefully</w:t>
      </w:r>
    </w:p>
    <w:p>
      <w:pPr>
        <w:pStyle w:val="ListBullet"/>
      </w:pPr>
      <w:r>
        <w:rPr>
          <w:color w:val="333333"/>
          <w:sz w:val="22"/>
        </w:rPr>
        <w:t>☐ Compare old vs. new curriculum tables of contents</w:t>
      </w:r>
    </w:p>
    <w:p>
      <w:pPr>
        <w:pStyle w:val="ListBullet"/>
      </w:pPr>
      <w:r>
        <w:rPr>
          <w:color w:val="333333"/>
          <w:sz w:val="22"/>
        </w:rPr>
        <w:t>☐ Highlight new topics you may need to teach or review</w:t>
      </w:r>
    </w:p>
    <w:p>
      <w:pPr>
        <w:pStyle w:val="ListBullet"/>
      </w:pPr>
      <w:r>
        <w:rPr>
          <w:color w:val="333333"/>
          <w:sz w:val="22"/>
        </w:rPr>
        <w:t>☐ Skip overlapping material confidently — mastery matters more than completion</w:t>
      </w:r>
    </w:p>
    <w:p>
      <w:pPr>
        <w:pStyle w:val="ListBullet"/>
      </w:pPr>
      <w:r>
        <w:rPr>
          <w:color w:val="333333"/>
          <w:sz w:val="22"/>
        </w:rPr>
        <w:t>☐ Use the first 1–2 weeks as a “gentle start” to ease into the new rhythm</w:t>
      </w:r>
    </w:p>
    <w:p>
      <w:r>
        <w:rPr>
          <w:b/>
          <w:color w:val="6D7B6D"/>
          <w:sz w:val="28"/>
        </w:rPr>
        <w:t>5️⃣ Step 5: Reflect &amp; Reframe</w:t>
      </w:r>
    </w:p>
    <w:p>
      <w:pPr>
        <w:pStyle w:val="ListBullet"/>
      </w:pPr>
      <w:r>
        <w:rPr>
          <w:color w:val="333333"/>
          <w:sz w:val="22"/>
        </w:rPr>
        <w:t>☐ Remember: Pivoting is not failure — it’s discernment</w:t>
      </w:r>
    </w:p>
    <w:p>
      <w:pPr>
        <w:pStyle w:val="ListBullet"/>
      </w:pPr>
      <w:r>
        <w:rPr>
          <w:color w:val="333333"/>
          <w:sz w:val="22"/>
        </w:rPr>
        <w:t>☐ The goal isn’t to finish books, but to build understanding and joy</w:t>
      </w:r>
    </w:p>
    <w:p>
      <w:pPr>
        <w:pStyle w:val="ListBullet"/>
      </w:pPr>
      <w:r>
        <w:rPr>
          <w:color w:val="333333"/>
          <w:sz w:val="22"/>
        </w:rPr>
        <w:t>☐ Ask your child what they liked/disliked — invite them into ownership</w:t>
      </w:r>
    </w:p>
    <w:p>
      <w:pPr>
        <w:jc w:val="center"/>
      </w:pPr>
      <w:r>
        <w:rPr>
          <w:i/>
          <w:color w:val="6D7B6D"/>
          <w:sz w:val="22"/>
        </w:rPr>
        <w:t>“Changing direction isn’t losing progress — it’s steering toward what truly fits your family’s call.”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