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Supplementary Materials</w:t>
      </w:r>
    </w:p>
    <w:p>
      <w:pPr>
        <w:jc w:val="center"/>
      </w:pPr>
      <w:r>
        <w:rPr>
          <w:i/>
        </w:rPr>
        <w:t>Skill-Validated Season-Stratified Rainfall Trigger Thresholds for Flash Flood Anticipatory Action in Sylhet Division, Bangladesh</w:t>
      </w:r>
    </w:p>
    <w:p>
      <w:pPr>
        <w:jc w:val="center"/>
      </w:pPr>
      <w:r>
        <w:rPr>
          <w:b/>
        </w:rPr>
        <w:t>Naimul Islam</w:t>
      </w:r>
    </w:p>
    <w:p>
      <w:pPr>
        <w:jc w:val="center"/>
      </w:pPr>
      <w:r>
        <w:t>Department of Civil Engineering, Chittagong University of Engineering and Technology</w:t>
      </w:r>
    </w:p>
    <w:p/>
    <w:p>
      <w:pPr>
        <w:jc w:val="both"/>
      </w:pPr>
      <w:r>
        <w:t>This document contains supplementary tables and figures supporting the main manuscript. Section S1 provides the complete extreme rainfall trend statistics across all three datasets. Section S2 presents the catalogue configuration sensitivity analysis referenced in Section 3.4. Section S3 details the full per-event cost-benefit breakdown under three return-on-investment scenarios. Sections S4 to S6 provide supporting figures.</w:t>
      </w:r>
    </w:p>
    <w:p>
      <w:pPr>
        <w:pStyle w:val="Heading1"/>
      </w:pPr>
      <w:r>
        <w:t>S1. Complete extreme rainfall trend statistics</w:t>
      </w:r>
    </w:p>
    <w:p>
      <w:pPr>
        <w:jc w:val="both"/>
      </w:pPr>
      <w:r>
        <w:t>Table S1 provides the full trend statistics for the nine annual precipitation indices computed on three datasets. Trends significant at the 5 percent level are shown in bold.</w:t>
      </w:r>
    </w:p>
    <w:p>
      <w:pPr>
        <w:spacing w:before="240"/>
      </w:pPr>
      <w:r>
        <w:rPr>
          <w:b/>
        </w:rPr>
        <w:t xml:space="preserve">Table S1. </w:t>
      </w:r>
      <w:r>
        <w:t>Complete trend statistics for nine annual precipitation indices. Sen slope, Mann-Kendall p-value, and Pettitt change year reported per dataset. PRCPTOT, RX1day, RX5day, R95p, R99p in mm; SDII in mm per day; CDD, CWD in days.</w:t>
      </w:r>
    </w:p>
    <w:tbl>
      <w:tblPr>
        <w:tblStyle w:val="LightGrid-Accent1"/>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tcPr>
          <w:p>
            <w:r>
              <w:rPr>
                <w:b/>
                <w:sz w:val="16"/>
              </w:rPr>
              <w:t>Index</w:t>
            </w:r>
          </w:p>
        </w:tc>
        <w:tc>
          <w:tcPr>
            <w:tcW w:type="dxa" w:w="941"/>
          </w:tcPr>
          <w:p>
            <w:r>
              <w:rPr>
                <w:b/>
                <w:sz w:val="16"/>
              </w:rPr>
              <w:t>CHIRPS slope</w:t>
            </w:r>
          </w:p>
        </w:tc>
        <w:tc>
          <w:tcPr>
            <w:tcW w:type="dxa" w:w="941"/>
          </w:tcPr>
          <w:p>
            <w:r>
              <w:rPr>
                <w:b/>
                <w:sz w:val="16"/>
              </w:rPr>
              <w:t>CHIRPS p</w:t>
            </w:r>
          </w:p>
        </w:tc>
        <w:tc>
          <w:tcPr>
            <w:tcW w:type="dxa" w:w="941"/>
          </w:tcPr>
          <w:p>
            <w:r>
              <w:rPr>
                <w:b/>
                <w:sz w:val="16"/>
              </w:rPr>
              <w:t>CHIRPS change yr</w:t>
            </w:r>
          </w:p>
        </w:tc>
        <w:tc>
          <w:tcPr>
            <w:tcW w:type="dxa" w:w="941"/>
          </w:tcPr>
          <w:p>
            <w:r>
              <w:rPr>
                <w:b/>
                <w:sz w:val="16"/>
              </w:rPr>
              <w:t>ERA5 Syl slope</w:t>
            </w:r>
          </w:p>
        </w:tc>
        <w:tc>
          <w:tcPr>
            <w:tcW w:type="dxa" w:w="941"/>
          </w:tcPr>
          <w:p>
            <w:r>
              <w:rPr>
                <w:b/>
                <w:sz w:val="16"/>
              </w:rPr>
              <w:t>ERA5 Syl p</w:t>
            </w:r>
          </w:p>
        </w:tc>
        <w:tc>
          <w:tcPr>
            <w:tcW w:type="dxa" w:w="941"/>
          </w:tcPr>
          <w:p>
            <w:r>
              <w:rPr>
                <w:b/>
                <w:sz w:val="16"/>
              </w:rPr>
              <w:t>ERA5 Syl change yr</w:t>
            </w:r>
          </w:p>
        </w:tc>
        <w:tc>
          <w:tcPr>
            <w:tcW w:type="dxa" w:w="941"/>
          </w:tcPr>
          <w:p>
            <w:r>
              <w:rPr>
                <w:b/>
                <w:sz w:val="16"/>
              </w:rPr>
              <w:t>ERA5 trans slope</w:t>
            </w:r>
          </w:p>
        </w:tc>
        <w:tc>
          <w:tcPr>
            <w:tcW w:type="dxa" w:w="941"/>
          </w:tcPr>
          <w:p>
            <w:r>
              <w:rPr>
                <w:b/>
                <w:sz w:val="16"/>
              </w:rPr>
              <w:t>ERA5 trans p</w:t>
            </w:r>
          </w:p>
        </w:tc>
        <w:tc>
          <w:tcPr>
            <w:tcW w:type="dxa" w:w="941"/>
          </w:tcPr>
          <w:p>
            <w:r>
              <w:rPr>
                <w:b/>
                <w:sz w:val="16"/>
              </w:rPr>
              <w:t>ERA5 trans change yr</w:t>
            </w:r>
          </w:p>
        </w:tc>
      </w:tr>
      <w:tr>
        <w:tc>
          <w:tcPr>
            <w:tcW w:type="dxa" w:w="941"/>
          </w:tcPr>
          <w:p>
            <w:r>
              <w:rPr>
                <w:sz w:val="16"/>
              </w:rPr>
              <w:t>PRCPTOT</w:t>
            </w:r>
          </w:p>
        </w:tc>
        <w:tc>
          <w:tcPr>
            <w:tcW w:type="dxa" w:w="941"/>
          </w:tcPr>
          <w:p>
            <w:r>
              <w:rPr>
                <w:sz w:val="16"/>
              </w:rPr>
              <w:t>-0.45</w:t>
            </w:r>
          </w:p>
        </w:tc>
        <w:tc>
          <w:tcPr>
            <w:tcW w:type="dxa" w:w="941"/>
          </w:tcPr>
          <w:p>
            <w:r>
              <w:rPr>
                <w:sz w:val="16"/>
              </w:rPr>
              <w:t>0.895</w:t>
            </w:r>
          </w:p>
        </w:tc>
        <w:tc>
          <w:tcPr>
            <w:tcW w:type="dxa" w:w="941"/>
          </w:tcPr>
          <w:p>
            <w:r>
              <w:rPr>
                <w:sz w:val="16"/>
              </w:rPr>
              <w:t>2017</w:t>
            </w:r>
          </w:p>
        </w:tc>
        <w:tc>
          <w:tcPr>
            <w:tcW w:type="dxa" w:w="941"/>
          </w:tcPr>
          <w:p>
            <w:r>
              <w:rPr>
                <w:sz w:val="16"/>
              </w:rPr>
              <w:t>-8.89</w:t>
            </w:r>
          </w:p>
        </w:tc>
        <w:tc>
          <w:tcPr>
            <w:tcW w:type="dxa" w:w="941"/>
          </w:tcPr>
          <w:p>
            <w:r>
              <w:rPr>
                <w:sz w:val="16"/>
              </w:rPr>
              <w:t>0.012</w:t>
            </w:r>
          </w:p>
        </w:tc>
        <w:tc>
          <w:tcPr>
            <w:tcW w:type="dxa" w:w="941"/>
          </w:tcPr>
          <w:p>
            <w:r>
              <w:rPr>
                <w:sz w:val="16"/>
              </w:rPr>
              <w:t>2004</w:t>
            </w:r>
          </w:p>
        </w:tc>
        <w:tc>
          <w:tcPr>
            <w:tcW w:type="dxa" w:w="941"/>
          </w:tcPr>
          <w:p>
            <w:r>
              <w:rPr>
                <w:sz w:val="16"/>
              </w:rPr>
              <w:t>-3.87</w:t>
            </w:r>
          </w:p>
        </w:tc>
        <w:tc>
          <w:tcPr>
            <w:tcW w:type="dxa" w:w="941"/>
          </w:tcPr>
          <w:p>
            <w:r>
              <w:rPr>
                <w:sz w:val="16"/>
              </w:rPr>
              <w:t>0.012</w:t>
            </w:r>
          </w:p>
        </w:tc>
        <w:tc>
          <w:tcPr>
            <w:tcW w:type="dxa" w:w="941"/>
          </w:tcPr>
          <w:p>
            <w:r>
              <w:rPr>
                <w:sz w:val="16"/>
              </w:rPr>
              <w:t>1974</w:t>
            </w:r>
          </w:p>
        </w:tc>
      </w:tr>
      <w:tr>
        <w:tc>
          <w:tcPr>
            <w:tcW w:type="dxa" w:w="941"/>
          </w:tcPr>
          <w:p>
            <w:r>
              <w:rPr>
                <w:sz w:val="16"/>
              </w:rPr>
              <w:t>RX1day</w:t>
            </w:r>
          </w:p>
        </w:tc>
        <w:tc>
          <w:tcPr>
            <w:tcW w:type="dxa" w:w="941"/>
          </w:tcPr>
          <w:p>
            <w:r>
              <w:rPr>
                <w:sz w:val="16"/>
              </w:rPr>
              <w:t>-0.27</w:t>
            </w:r>
          </w:p>
        </w:tc>
        <w:tc>
          <w:tcPr>
            <w:tcW w:type="dxa" w:w="941"/>
          </w:tcPr>
          <w:p>
            <w:r>
              <w:rPr>
                <w:sz w:val="16"/>
              </w:rPr>
              <w:t>0.379</w:t>
            </w:r>
          </w:p>
        </w:tc>
        <w:tc>
          <w:tcPr>
            <w:tcW w:type="dxa" w:w="941"/>
          </w:tcPr>
          <w:p>
            <w:r>
              <w:rPr>
                <w:sz w:val="16"/>
              </w:rPr>
              <w:t>-</w:t>
            </w:r>
          </w:p>
        </w:tc>
        <w:tc>
          <w:tcPr>
            <w:tcW w:type="dxa" w:w="941"/>
          </w:tcPr>
          <w:p>
            <w:r>
              <w:rPr>
                <w:sz w:val="16"/>
              </w:rPr>
              <w:t>-1.02</w:t>
            </w:r>
          </w:p>
        </w:tc>
        <w:tc>
          <w:tcPr>
            <w:tcW w:type="dxa" w:w="941"/>
          </w:tcPr>
          <w:p>
            <w:r>
              <w:rPr>
                <w:sz w:val="16"/>
              </w:rPr>
              <w:t>0.089</w:t>
            </w:r>
          </w:p>
        </w:tc>
        <w:tc>
          <w:tcPr>
            <w:tcW w:type="dxa" w:w="941"/>
          </w:tcPr>
          <w:p>
            <w:r>
              <w:rPr>
                <w:sz w:val="16"/>
              </w:rPr>
              <w:t>-</w:t>
            </w:r>
          </w:p>
        </w:tc>
        <w:tc>
          <w:tcPr>
            <w:tcW w:type="dxa" w:w="941"/>
          </w:tcPr>
          <w:p>
            <w:r>
              <w:rPr>
                <w:sz w:val="16"/>
              </w:rPr>
              <w:t>-0.34</w:t>
            </w:r>
          </w:p>
        </w:tc>
        <w:tc>
          <w:tcPr>
            <w:tcW w:type="dxa" w:w="941"/>
          </w:tcPr>
          <w:p>
            <w:r>
              <w:rPr>
                <w:sz w:val="16"/>
              </w:rPr>
              <w:t>0.256</w:t>
            </w:r>
          </w:p>
        </w:tc>
        <w:tc>
          <w:tcPr>
            <w:tcW w:type="dxa" w:w="941"/>
          </w:tcPr>
          <w:p>
            <w:r>
              <w:rPr>
                <w:sz w:val="16"/>
              </w:rPr>
              <w:t>-</w:t>
            </w:r>
          </w:p>
        </w:tc>
      </w:tr>
      <w:tr>
        <w:tc>
          <w:tcPr>
            <w:tcW w:type="dxa" w:w="941"/>
          </w:tcPr>
          <w:p>
            <w:r>
              <w:rPr>
                <w:sz w:val="16"/>
              </w:rPr>
              <w:t>RX5day</w:t>
            </w:r>
          </w:p>
        </w:tc>
        <w:tc>
          <w:tcPr>
            <w:tcW w:type="dxa" w:w="941"/>
          </w:tcPr>
          <w:p>
            <w:r>
              <w:rPr>
                <w:sz w:val="16"/>
              </w:rPr>
              <w:t>-0.92</w:t>
            </w:r>
          </w:p>
        </w:tc>
        <w:tc>
          <w:tcPr>
            <w:tcW w:type="dxa" w:w="941"/>
          </w:tcPr>
          <w:p>
            <w:r>
              <w:rPr>
                <w:sz w:val="16"/>
              </w:rPr>
              <w:t>0.436</w:t>
            </w:r>
          </w:p>
        </w:tc>
        <w:tc>
          <w:tcPr>
            <w:tcW w:type="dxa" w:w="941"/>
          </w:tcPr>
          <w:p>
            <w:r>
              <w:rPr>
                <w:sz w:val="16"/>
              </w:rPr>
              <w:t>-</w:t>
            </w:r>
          </w:p>
        </w:tc>
        <w:tc>
          <w:tcPr>
            <w:tcW w:type="dxa" w:w="941"/>
          </w:tcPr>
          <w:p>
            <w:r>
              <w:rPr>
                <w:sz w:val="16"/>
              </w:rPr>
              <w:t>-2.15</w:t>
            </w:r>
          </w:p>
        </w:tc>
        <w:tc>
          <w:tcPr>
            <w:tcW w:type="dxa" w:w="941"/>
          </w:tcPr>
          <w:p>
            <w:r>
              <w:rPr>
                <w:sz w:val="16"/>
              </w:rPr>
              <w:t>0.145</w:t>
            </w:r>
          </w:p>
        </w:tc>
        <w:tc>
          <w:tcPr>
            <w:tcW w:type="dxa" w:w="941"/>
          </w:tcPr>
          <w:p>
            <w:r>
              <w:rPr>
                <w:sz w:val="16"/>
              </w:rPr>
              <w:t>-</w:t>
            </w:r>
          </w:p>
        </w:tc>
        <w:tc>
          <w:tcPr>
            <w:tcW w:type="dxa" w:w="941"/>
          </w:tcPr>
          <w:p>
            <w:r>
              <w:rPr>
                <w:sz w:val="16"/>
              </w:rPr>
              <w:t>-0.87</w:t>
            </w:r>
          </w:p>
        </w:tc>
        <w:tc>
          <w:tcPr>
            <w:tcW w:type="dxa" w:w="941"/>
          </w:tcPr>
          <w:p>
            <w:r>
              <w:rPr>
                <w:sz w:val="16"/>
              </w:rPr>
              <w:t>0.412</w:t>
            </w:r>
          </w:p>
        </w:tc>
        <w:tc>
          <w:tcPr>
            <w:tcW w:type="dxa" w:w="941"/>
          </w:tcPr>
          <w:p>
            <w:r>
              <w:rPr>
                <w:sz w:val="16"/>
              </w:rPr>
              <w:t>-</w:t>
            </w:r>
          </w:p>
        </w:tc>
      </w:tr>
      <w:tr>
        <w:tc>
          <w:tcPr>
            <w:tcW w:type="dxa" w:w="941"/>
          </w:tcPr>
          <w:p>
            <w:r>
              <w:rPr>
                <w:sz w:val="16"/>
              </w:rPr>
              <w:t>R95p</w:t>
            </w:r>
          </w:p>
        </w:tc>
        <w:tc>
          <w:tcPr>
            <w:tcW w:type="dxa" w:w="941"/>
          </w:tcPr>
          <w:p>
            <w:r>
              <w:rPr>
                <w:sz w:val="16"/>
              </w:rPr>
              <w:t>-3.66</w:t>
            </w:r>
          </w:p>
        </w:tc>
        <w:tc>
          <w:tcPr>
            <w:tcW w:type="dxa" w:w="941"/>
          </w:tcPr>
          <w:p>
            <w:r>
              <w:rPr>
                <w:sz w:val="16"/>
              </w:rPr>
              <w:t>0.448</w:t>
            </w:r>
          </w:p>
        </w:tc>
        <w:tc>
          <w:tcPr>
            <w:tcW w:type="dxa" w:w="941"/>
          </w:tcPr>
          <w:p>
            <w:r>
              <w:rPr>
                <w:sz w:val="16"/>
              </w:rPr>
              <w:t>-</w:t>
            </w:r>
          </w:p>
        </w:tc>
        <w:tc>
          <w:tcPr>
            <w:tcW w:type="dxa" w:w="941"/>
          </w:tcPr>
          <w:p>
            <w:r>
              <w:rPr>
                <w:sz w:val="16"/>
              </w:rPr>
              <w:t>-4.03</w:t>
            </w:r>
          </w:p>
        </w:tc>
        <w:tc>
          <w:tcPr>
            <w:tcW w:type="dxa" w:w="941"/>
          </w:tcPr>
          <w:p>
            <w:r>
              <w:rPr>
                <w:sz w:val="16"/>
              </w:rPr>
              <w:t>0.061</w:t>
            </w:r>
          </w:p>
        </w:tc>
        <w:tc>
          <w:tcPr>
            <w:tcW w:type="dxa" w:w="941"/>
          </w:tcPr>
          <w:p>
            <w:r>
              <w:rPr>
                <w:sz w:val="16"/>
              </w:rPr>
              <w:t>-</w:t>
            </w:r>
          </w:p>
        </w:tc>
        <w:tc>
          <w:tcPr>
            <w:tcW w:type="dxa" w:w="941"/>
          </w:tcPr>
          <w:p>
            <w:r>
              <w:rPr>
                <w:sz w:val="16"/>
              </w:rPr>
              <w:t>-1.98</w:t>
            </w:r>
          </w:p>
        </w:tc>
        <w:tc>
          <w:tcPr>
            <w:tcW w:type="dxa" w:w="941"/>
          </w:tcPr>
          <w:p>
            <w:r>
              <w:rPr>
                <w:sz w:val="16"/>
              </w:rPr>
              <w:t>0.098</w:t>
            </w:r>
          </w:p>
        </w:tc>
        <w:tc>
          <w:tcPr>
            <w:tcW w:type="dxa" w:w="941"/>
          </w:tcPr>
          <w:p>
            <w:r>
              <w:rPr>
                <w:sz w:val="16"/>
              </w:rPr>
              <w:t>-</w:t>
            </w:r>
          </w:p>
        </w:tc>
      </w:tr>
      <w:tr>
        <w:tc>
          <w:tcPr>
            <w:tcW w:type="dxa" w:w="941"/>
          </w:tcPr>
          <w:p>
            <w:r>
              <w:rPr>
                <w:sz w:val="16"/>
              </w:rPr>
              <w:t>R99p</w:t>
            </w:r>
          </w:p>
        </w:tc>
        <w:tc>
          <w:tcPr>
            <w:tcW w:type="dxa" w:w="941"/>
          </w:tcPr>
          <w:p>
            <w:r>
              <w:rPr>
                <w:sz w:val="16"/>
              </w:rPr>
              <w:t>0.00</w:t>
            </w:r>
          </w:p>
        </w:tc>
        <w:tc>
          <w:tcPr>
            <w:tcW w:type="dxa" w:w="941"/>
          </w:tcPr>
          <w:p>
            <w:r>
              <w:rPr>
                <w:sz w:val="16"/>
              </w:rPr>
              <w:t>0.745</w:t>
            </w:r>
          </w:p>
        </w:tc>
        <w:tc>
          <w:tcPr>
            <w:tcW w:type="dxa" w:w="941"/>
          </w:tcPr>
          <w:p>
            <w:r>
              <w:rPr>
                <w:sz w:val="16"/>
              </w:rPr>
              <w:t>-</w:t>
            </w:r>
          </w:p>
        </w:tc>
        <w:tc>
          <w:tcPr>
            <w:tcW w:type="dxa" w:w="941"/>
          </w:tcPr>
          <w:p>
            <w:r>
              <w:rPr>
                <w:sz w:val="16"/>
              </w:rPr>
              <w:t>-0.25</w:t>
            </w:r>
          </w:p>
        </w:tc>
        <w:tc>
          <w:tcPr>
            <w:tcW w:type="dxa" w:w="941"/>
          </w:tcPr>
          <w:p>
            <w:r>
              <w:rPr>
                <w:sz w:val="16"/>
              </w:rPr>
              <w:t>0.430</w:t>
            </w:r>
          </w:p>
        </w:tc>
        <w:tc>
          <w:tcPr>
            <w:tcW w:type="dxa" w:w="941"/>
          </w:tcPr>
          <w:p>
            <w:r>
              <w:rPr>
                <w:sz w:val="16"/>
              </w:rPr>
              <w:t>-</w:t>
            </w:r>
          </w:p>
        </w:tc>
        <w:tc>
          <w:tcPr>
            <w:tcW w:type="dxa" w:w="941"/>
          </w:tcPr>
          <w:p>
            <w:r>
              <w:rPr>
                <w:sz w:val="16"/>
              </w:rPr>
              <w:t>-1.21</w:t>
            </w:r>
          </w:p>
        </w:tc>
        <w:tc>
          <w:tcPr>
            <w:tcW w:type="dxa" w:w="941"/>
          </w:tcPr>
          <w:p>
            <w:r>
              <w:rPr>
                <w:sz w:val="16"/>
              </w:rPr>
              <w:t>0.033</w:t>
            </w:r>
          </w:p>
        </w:tc>
        <w:tc>
          <w:tcPr>
            <w:tcW w:type="dxa" w:w="941"/>
          </w:tcPr>
          <w:p>
            <w:r>
              <w:rPr>
                <w:sz w:val="16"/>
              </w:rPr>
              <w:t>2003</w:t>
            </w:r>
          </w:p>
        </w:tc>
      </w:tr>
      <w:tr>
        <w:tc>
          <w:tcPr>
            <w:tcW w:type="dxa" w:w="941"/>
          </w:tcPr>
          <w:p>
            <w:r>
              <w:rPr>
                <w:sz w:val="16"/>
              </w:rPr>
              <w:t>SDII</w:t>
            </w:r>
          </w:p>
        </w:tc>
        <w:tc>
          <w:tcPr>
            <w:tcW w:type="dxa" w:w="941"/>
          </w:tcPr>
          <w:p>
            <w:r>
              <w:rPr>
                <w:sz w:val="16"/>
              </w:rPr>
              <w:t>-0.003</w:t>
            </w:r>
          </w:p>
        </w:tc>
        <w:tc>
          <w:tcPr>
            <w:tcW w:type="dxa" w:w="941"/>
          </w:tcPr>
          <w:p>
            <w:r>
              <w:rPr>
                <w:sz w:val="16"/>
              </w:rPr>
              <w:t>0.895</w:t>
            </w:r>
          </w:p>
        </w:tc>
        <w:tc>
          <w:tcPr>
            <w:tcW w:type="dxa" w:w="941"/>
          </w:tcPr>
          <w:p>
            <w:r>
              <w:rPr>
                <w:sz w:val="16"/>
              </w:rPr>
              <w:t>-</w:t>
            </w:r>
          </w:p>
        </w:tc>
        <w:tc>
          <w:tcPr>
            <w:tcW w:type="dxa" w:w="941"/>
          </w:tcPr>
          <w:p>
            <w:r>
              <w:rPr>
                <w:sz w:val="16"/>
              </w:rPr>
              <w:t>-0.034</w:t>
            </w:r>
          </w:p>
        </w:tc>
        <w:tc>
          <w:tcPr>
            <w:tcW w:type="dxa" w:w="941"/>
          </w:tcPr>
          <w:p>
            <w:r>
              <w:rPr>
                <w:sz w:val="16"/>
              </w:rPr>
              <w:t>0.010</w:t>
            </w:r>
          </w:p>
        </w:tc>
        <w:tc>
          <w:tcPr>
            <w:tcW w:type="dxa" w:w="941"/>
          </w:tcPr>
          <w:p>
            <w:r>
              <w:rPr>
                <w:sz w:val="16"/>
              </w:rPr>
              <w:t>2004</w:t>
            </w:r>
          </w:p>
        </w:tc>
        <w:tc>
          <w:tcPr>
            <w:tcW w:type="dxa" w:w="941"/>
          </w:tcPr>
          <w:p>
            <w:r>
              <w:rPr>
                <w:sz w:val="16"/>
              </w:rPr>
              <w:t>-0.014</w:t>
            </w:r>
          </w:p>
        </w:tc>
        <w:tc>
          <w:tcPr>
            <w:tcW w:type="dxa" w:w="941"/>
          </w:tcPr>
          <w:p>
            <w:r>
              <w:rPr>
                <w:sz w:val="16"/>
              </w:rPr>
              <w:t>0.025</w:t>
            </w:r>
          </w:p>
        </w:tc>
        <w:tc>
          <w:tcPr>
            <w:tcW w:type="dxa" w:w="941"/>
          </w:tcPr>
          <w:p>
            <w:r>
              <w:rPr>
                <w:sz w:val="16"/>
              </w:rPr>
              <w:t>-</w:t>
            </w:r>
          </w:p>
        </w:tc>
      </w:tr>
      <w:tr>
        <w:tc>
          <w:tcPr>
            <w:tcW w:type="dxa" w:w="941"/>
          </w:tcPr>
          <w:p>
            <w:r>
              <w:rPr>
                <w:sz w:val="16"/>
              </w:rPr>
              <w:t>CDD</w:t>
            </w:r>
          </w:p>
        </w:tc>
        <w:tc>
          <w:tcPr>
            <w:tcW w:type="dxa" w:w="941"/>
          </w:tcPr>
          <w:p>
            <w:r>
              <w:rPr>
                <w:sz w:val="16"/>
              </w:rPr>
              <w:t>+0.30</w:t>
            </w:r>
          </w:p>
        </w:tc>
        <w:tc>
          <w:tcPr>
            <w:tcW w:type="dxa" w:w="941"/>
          </w:tcPr>
          <w:p>
            <w:r>
              <w:rPr>
                <w:sz w:val="16"/>
              </w:rPr>
              <w:t>0.017</w:t>
            </w:r>
          </w:p>
        </w:tc>
        <w:tc>
          <w:tcPr>
            <w:tcW w:type="dxa" w:w="941"/>
          </w:tcPr>
          <w:p>
            <w:r>
              <w:rPr>
                <w:sz w:val="16"/>
              </w:rPr>
              <w:t>2000</w:t>
            </w:r>
          </w:p>
        </w:tc>
        <w:tc>
          <w:tcPr>
            <w:tcW w:type="dxa" w:w="941"/>
          </w:tcPr>
          <w:p>
            <w:r>
              <w:rPr>
                <w:sz w:val="16"/>
              </w:rPr>
              <w:t>+0.05</w:t>
            </w:r>
          </w:p>
        </w:tc>
        <w:tc>
          <w:tcPr>
            <w:tcW w:type="dxa" w:w="941"/>
          </w:tcPr>
          <w:p>
            <w:r>
              <w:rPr>
                <w:sz w:val="16"/>
              </w:rPr>
              <w:t>0.450</w:t>
            </w:r>
          </w:p>
        </w:tc>
        <w:tc>
          <w:tcPr>
            <w:tcW w:type="dxa" w:w="941"/>
          </w:tcPr>
          <w:p>
            <w:r>
              <w:rPr>
                <w:sz w:val="16"/>
              </w:rPr>
              <w:t>-</w:t>
            </w:r>
          </w:p>
        </w:tc>
        <w:tc>
          <w:tcPr>
            <w:tcW w:type="dxa" w:w="941"/>
          </w:tcPr>
          <w:p>
            <w:r>
              <w:rPr>
                <w:sz w:val="16"/>
              </w:rPr>
              <w:t>+0.09</w:t>
            </w:r>
          </w:p>
        </w:tc>
        <w:tc>
          <w:tcPr>
            <w:tcW w:type="dxa" w:w="941"/>
          </w:tcPr>
          <w:p>
            <w:r>
              <w:rPr>
                <w:sz w:val="16"/>
              </w:rPr>
              <w:t>0.150</w:t>
            </w:r>
          </w:p>
        </w:tc>
        <w:tc>
          <w:tcPr>
            <w:tcW w:type="dxa" w:w="941"/>
          </w:tcPr>
          <w:p>
            <w:r>
              <w:rPr>
                <w:sz w:val="16"/>
              </w:rPr>
              <w:t>-</w:t>
            </w:r>
          </w:p>
        </w:tc>
      </w:tr>
      <w:tr>
        <w:tc>
          <w:tcPr>
            <w:tcW w:type="dxa" w:w="941"/>
          </w:tcPr>
          <w:p>
            <w:r>
              <w:rPr>
                <w:sz w:val="16"/>
              </w:rPr>
              <w:t>CWD</w:t>
            </w:r>
          </w:p>
        </w:tc>
        <w:tc>
          <w:tcPr>
            <w:tcW w:type="dxa" w:w="941"/>
          </w:tcPr>
          <w:p>
            <w:r>
              <w:rPr>
                <w:sz w:val="16"/>
              </w:rPr>
              <w:t>0.00</w:t>
            </w:r>
          </w:p>
        </w:tc>
        <w:tc>
          <w:tcPr>
            <w:tcW w:type="dxa" w:w="941"/>
          </w:tcPr>
          <w:p>
            <w:r>
              <w:rPr>
                <w:sz w:val="16"/>
              </w:rPr>
              <w:t>0.800</w:t>
            </w:r>
          </w:p>
        </w:tc>
        <w:tc>
          <w:tcPr>
            <w:tcW w:type="dxa" w:w="941"/>
          </w:tcPr>
          <w:p>
            <w:r>
              <w:rPr>
                <w:sz w:val="16"/>
              </w:rPr>
              <w:t>-</w:t>
            </w:r>
          </w:p>
        </w:tc>
        <w:tc>
          <w:tcPr>
            <w:tcW w:type="dxa" w:w="941"/>
          </w:tcPr>
          <w:p>
            <w:r>
              <w:rPr>
                <w:sz w:val="16"/>
              </w:rPr>
              <w:t>0.00</w:t>
            </w:r>
          </w:p>
        </w:tc>
        <w:tc>
          <w:tcPr>
            <w:tcW w:type="dxa" w:w="941"/>
          </w:tcPr>
          <w:p>
            <w:r>
              <w:rPr>
                <w:sz w:val="16"/>
              </w:rPr>
              <w:t>0.812</w:t>
            </w:r>
          </w:p>
        </w:tc>
        <w:tc>
          <w:tcPr>
            <w:tcW w:type="dxa" w:w="941"/>
          </w:tcPr>
          <w:p>
            <w:r>
              <w:rPr>
                <w:sz w:val="16"/>
              </w:rPr>
              <w:t>-</w:t>
            </w:r>
          </w:p>
        </w:tc>
        <w:tc>
          <w:tcPr>
            <w:tcW w:type="dxa" w:w="941"/>
          </w:tcPr>
          <w:p>
            <w:r>
              <w:rPr>
                <w:sz w:val="16"/>
              </w:rPr>
              <w:t>0.02</w:t>
            </w:r>
          </w:p>
        </w:tc>
        <w:tc>
          <w:tcPr>
            <w:tcW w:type="dxa" w:w="941"/>
          </w:tcPr>
          <w:p>
            <w:r>
              <w:rPr>
                <w:sz w:val="16"/>
              </w:rPr>
              <w:t>0.657</w:t>
            </w:r>
          </w:p>
        </w:tc>
        <w:tc>
          <w:tcPr>
            <w:tcW w:type="dxa" w:w="941"/>
          </w:tcPr>
          <w:p>
            <w:r>
              <w:rPr>
                <w:sz w:val="16"/>
              </w:rPr>
              <w:t>-</w:t>
            </w:r>
          </w:p>
        </w:tc>
      </w:tr>
      <w:tr>
        <w:tc>
          <w:tcPr>
            <w:tcW w:type="dxa" w:w="941"/>
          </w:tcPr>
          <w:p>
            <w:r>
              <w:rPr>
                <w:sz w:val="16"/>
              </w:rPr>
              <w:t>Pre-mon</w:t>
            </w:r>
          </w:p>
        </w:tc>
        <w:tc>
          <w:tcPr>
            <w:tcW w:type="dxa" w:w="941"/>
          </w:tcPr>
          <w:p>
            <w:r>
              <w:rPr>
                <w:sz w:val="16"/>
              </w:rPr>
              <w:t>-3.24</w:t>
            </w:r>
          </w:p>
        </w:tc>
        <w:tc>
          <w:tcPr>
            <w:tcW w:type="dxa" w:w="941"/>
          </w:tcPr>
          <w:p>
            <w:r>
              <w:rPr>
                <w:sz w:val="16"/>
              </w:rPr>
              <w:t>0.357</w:t>
            </w:r>
          </w:p>
        </w:tc>
        <w:tc>
          <w:tcPr>
            <w:tcW w:type="dxa" w:w="941"/>
          </w:tcPr>
          <w:p>
            <w:r>
              <w:rPr>
                <w:sz w:val="16"/>
              </w:rPr>
              <w:t>-</w:t>
            </w:r>
          </w:p>
        </w:tc>
        <w:tc>
          <w:tcPr>
            <w:tcW w:type="dxa" w:w="941"/>
          </w:tcPr>
          <w:p>
            <w:r>
              <w:rPr>
                <w:sz w:val="16"/>
              </w:rPr>
              <w:t>-3.52</w:t>
            </w:r>
          </w:p>
        </w:tc>
        <w:tc>
          <w:tcPr>
            <w:tcW w:type="dxa" w:w="941"/>
          </w:tcPr>
          <w:p>
            <w:r>
              <w:rPr>
                <w:sz w:val="16"/>
              </w:rPr>
              <w:t>0.100</w:t>
            </w:r>
          </w:p>
        </w:tc>
        <w:tc>
          <w:tcPr>
            <w:tcW w:type="dxa" w:w="941"/>
          </w:tcPr>
          <w:p>
            <w:r>
              <w:rPr>
                <w:sz w:val="16"/>
              </w:rPr>
              <w:t>-</w:t>
            </w:r>
          </w:p>
        </w:tc>
        <w:tc>
          <w:tcPr>
            <w:tcW w:type="dxa" w:w="941"/>
          </w:tcPr>
          <w:p>
            <w:r>
              <w:rPr>
                <w:sz w:val="16"/>
              </w:rPr>
              <w:t>-0.95</w:t>
            </w:r>
          </w:p>
        </w:tc>
        <w:tc>
          <w:tcPr>
            <w:tcW w:type="dxa" w:w="941"/>
          </w:tcPr>
          <w:p>
            <w:r>
              <w:rPr>
                <w:sz w:val="16"/>
              </w:rPr>
              <w:t>0.332</w:t>
            </w:r>
          </w:p>
        </w:tc>
        <w:tc>
          <w:tcPr>
            <w:tcW w:type="dxa" w:w="941"/>
          </w:tcPr>
          <w:p>
            <w:r>
              <w:rPr>
                <w:sz w:val="16"/>
              </w:rPr>
              <w:t>-</w:t>
            </w:r>
          </w:p>
        </w:tc>
      </w:tr>
    </w:tbl>
    <w:p>
      <w:r>
        <w:br w:type="page"/>
      </w:r>
    </w:p>
    <w:p>
      <w:pPr>
        <w:pStyle w:val="Heading1"/>
      </w:pPr>
      <w:r>
        <w:t>S2. Catalogue configuration sensitivity</w:t>
      </w:r>
    </w:p>
    <w:p>
      <w:pPr>
        <w:jc w:val="both"/>
      </w:pPr>
      <w:r>
        <w:t>Four catalogue configurations were tested to verify that the trigger threshold results are robust to residual date uncertainty in the events catalogue. Configuration Original uses the full reported start-to-end date range for each event (30 to 78 days per major event); Configurations B, C, and D collapse each event to a fixed 3-day, 5-day, or 7-day peak window centered on the reported start date. All configurations produce similar CSI values (0.11 to 0.14) on the pooled local-rainfall trigger, indicating that catalogue window precision is not the limiting factor. Season stratification combined with basin-appropriate rainfall source (final configuration) yields the substantial improvement to CSI 0.20 and POD 0.63 for the pre-monsoon regime.</w:t>
      </w:r>
    </w:p>
    <w:p>
      <w:pPr>
        <w:spacing w:before="240"/>
      </w:pPr>
      <w:r>
        <w:rPr>
          <w:b/>
        </w:rPr>
        <w:t xml:space="preserve">Table S2. </w:t>
      </w:r>
      <w:r>
        <w:t>Trigger skill scores under four catalogue window configurations and the two final season-stratified configurations. Best CSI and HSS across 1 to 7 day windows shown, computed on blind 2011-2024 validation.</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b/>
              </w:rPr>
              <w:t>Configuration</w:t>
            </w:r>
          </w:p>
        </w:tc>
        <w:tc>
          <w:tcPr>
            <w:tcW w:type="dxa" w:w="1881"/>
          </w:tcPr>
          <w:p>
            <w:r>
              <w:rPr>
                <w:b/>
              </w:rPr>
              <w:t>Rainfall</w:t>
            </w:r>
          </w:p>
        </w:tc>
        <w:tc>
          <w:tcPr>
            <w:tcW w:type="dxa" w:w="1881"/>
          </w:tcPr>
          <w:p>
            <w:r>
              <w:rPr>
                <w:b/>
              </w:rPr>
              <w:t>Best CSI</w:t>
            </w:r>
          </w:p>
        </w:tc>
        <w:tc>
          <w:tcPr>
            <w:tcW w:type="dxa" w:w="1881"/>
          </w:tcPr>
          <w:p>
            <w:r>
              <w:rPr>
                <w:b/>
              </w:rPr>
              <w:t>Best POD</w:t>
            </w:r>
          </w:p>
        </w:tc>
        <w:tc>
          <w:tcPr>
            <w:tcW w:type="dxa" w:w="1881"/>
          </w:tcPr>
          <w:p>
            <w:r>
              <w:rPr>
                <w:b/>
              </w:rPr>
              <w:t>Best HSS</w:t>
            </w:r>
          </w:p>
        </w:tc>
      </w:tr>
      <w:tr>
        <w:tc>
          <w:tcPr>
            <w:tcW w:type="dxa" w:w="1881"/>
          </w:tcPr>
          <w:p>
            <w:r>
              <w:t>Original (30-78 day windows)</w:t>
            </w:r>
          </w:p>
        </w:tc>
        <w:tc>
          <w:tcPr>
            <w:tcW w:type="dxa" w:w="1881"/>
          </w:tcPr>
          <w:p>
            <w:r>
              <w:t>CHIRPS local</w:t>
            </w:r>
          </w:p>
        </w:tc>
        <w:tc>
          <w:tcPr>
            <w:tcW w:type="dxa" w:w="1881"/>
          </w:tcPr>
          <w:p>
            <w:r>
              <w:t>0.135</w:t>
            </w:r>
          </w:p>
        </w:tc>
        <w:tc>
          <w:tcPr>
            <w:tcW w:type="dxa" w:w="1881"/>
          </w:tcPr>
          <w:p>
            <w:r>
              <w:t>0.55</w:t>
            </w:r>
          </w:p>
        </w:tc>
        <w:tc>
          <w:tcPr>
            <w:tcW w:type="dxa" w:w="1881"/>
          </w:tcPr>
          <w:p>
            <w:r>
              <w:t>0.215</w:t>
            </w:r>
          </w:p>
        </w:tc>
      </w:tr>
      <w:tr>
        <w:tc>
          <w:tcPr>
            <w:tcW w:type="dxa" w:w="1881"/>
          </w:tcPr>
          <w:p>
            <w:r>
              <w:t>Config B (3-day peak)</w:t>
            </w:r>
          </w:p>
        </w:tc>
        <w:tc>
          <w:tcPr>
            <w:tcW w:type="dxa" w:w="1881"/>
          </w:tcPr>
          <w:p>
            <w:r>
              <w:t>CHIRPS local</w:t>
            </w:r>
          </w:p>
        </w:tc>
        <w:tc>
          <w:tcPr>
            <w:tcW w:type="dxa" w:w="1881"/>
          </w:tcPr>
          <w:p>
            <w:r>
              <w:t>0.113</w:t>
            </w:r>
          </w:p>
        </w:tc>
        <w:tc>
          <w:tcPr>
            <w:tcW w:type="dxa" w:w="1881"/>
          </w:tcPr>
          <w:p>
            <w:r>
              <w:t>0.50</w:t>
            </w:r>
          </w:p>
        </w:tc>
        <w:tc>
          <w:tcPr>
            <w:tcW w:type="dxa" w:w="1881"/>
          </w:tcPr>
          <w:p>
            <w:r>
              <w:t>0.198</w:t>
            </w:r>
          </w:p>
        </w:tc>
      </w:tr>
      <w:tr>
        <w:tc>
          <w:tcPr>
            <w:tcW w:type="dxa" w:w="1881"/>
          </w:tcPr>
          <w:p>
            <w:r>
              <w:t>Config C (5-day peak)</w:t>
            </w:r>
          </w:p>
        </w:tc>
        <w:tc>
          <w:tcPr>
            <w:tcW w:type="dxa" w:w="1881"/>
          </w:tcPr>
          <w:p>
            <w:r>
              <w:t>CHIRPS local</w:t>
            </w:r>
          </w:p>
        </w:tc>
        <w:tc>
          <w:tcPr>
            <w:tcW w:type="dxa" w:w="1881"/>
          </w:tcPr>
          <w:p>
            <w:r>
              <w:t>0.128</w:t>
            </w:r>
          </w:p>
        </w:tc>
        <w:tc>
          <w:tcPr>
            <w:tcW w:type="dxa" w:w="1881"/>
          </w:tcPr>
          <w:p>
            <w:r>
              <w:t>0.33</w:t>
            </w:r>
          </w:p>
        </w:tc>
        <w:tc>
          <w:tcPr>
            <w:tcW w:type="dxa" w:w="1881"/>
          </w:tcPr>
          <w:p>
            <w:r>
              <w:t>0.220</w:t>
            </w:r>
          </w:p>
        </w:tc>
      </w:tr>
      <w:tr>
        <w:tc>
          <w:tcPr>
            <w:tcW w:type="dxa" w:w="1881"/>
          </w:tcPr>
          <w:p>
            <w:r>
              <w:t>Config D (7-day peak)</w:t>
            </w:r>
          </w:p>
        </w:tc>
        <w:tc>
          <w:tcPr>
            <w:tcW w:type="dxa" w:w="1881"/>
          </w:tcPr>
          <w:p>
            <w:r>
              <w:t>CHIRPS local</w:t>
            </w:r>
          </w:p>
        </w:tc>
        <w:tc>
          <w:tcPr>
            <w:tcW w:type="dxa" w:w="1881"/>
          </w:tcPr>
          <w:p>
            <w:r>
              <w:t>0.122</w:t>
            </w:r>
          </w:p>
        </w:tc>
        <w:tc>
          <w:tcPr>
            <w:tcW w:type="dxa" w:w="1881"/>
          </w:tcPr>
          <w:p>
            <w:r>
              <w:t>0.38</w:t>
            </w:r>
          </w:p>
        </w:tc>
        <w:tc>
          <w:tcPr>
            <w:tcW w:type="dxa" w:w="1881"/>
          </w:tcPr>
          <w:p>
            <w:r>
              <w:t>0.211</w:t>
            </w:r>
          </w:p>
        </w:tc>
      </w:tr>
      <w:tr>
        <w:tc>
          <w:tcPr>
            <w:tcW w:type="dxa" w:w="1881"/>
          </w:tcPr>
          <w:p>
            <w:r>
              <w:t>Pre-monsoon (final)</w:t>
            </w:r>
          </w:p>
        </w:tc>
        <w:tc>
          <w:tcPr>
            <w:tcW w:type="dxa" w:w="1881"/>
          </w:tcPr>
          <w:p>
            <w:r>
              <w:t>Trans-boundary ERA5</w:t>
            </w:r>
          </w:p>
        </w:tc>
        <w:tc>
          <w:tcPr>
            <w:tcW w:type="dxa" w:w="1881"/>
          </w:tcPr>
          <w:p>
            <w:r>
              <w:t>0.196</w:t>
            </w:r>
          </w:p>
        </w:tc>
        <w:tc>
          <w:tcPr>
            <w:tcW w:type="dxa" w:w="1881"/>
          </w:tcPr>
          <w:p>
            <w:r>
              <w:t>0.627</w:t>
            </w:r>
          </w:p>
        </w:tc>
        <w:tc>
          <w:tcPr>
            <w:tcW w:type="dxa" w:w="1881"/>
          </w:tcPr>
          <w:p>
            <w:r>
              <w:t>0.321</w:t>
            </w:r>
          </w:p>
        </w:tc>
      </w:tr>
      <w:tr>
        <w:tc>
          <w:tcPr>
            <w:tcW w:type="dxa" w:w="1881"/>
          </w:tcPr>
          <w:p>
            <w:r>
              <w:t>Monsoon (final)</w:t>
            </w:r>
          </w:p>
        </w:tc>
        <w:tc>
          <w:tcPr>
            <w:tcW w:type="dxa" w:w="1881"/>
          </w:tcPr>
          <w:p>
            <w:r>
              <w:t>CHIRPS local</w:t>
            </w:r>
          </w:p>
        </w:tc>
        <w:tc>
          <w:tcPr>
            <w:tcW w:type="dxa" w:w="1881"/>
          </w:tcPr>
          <w:p>
            <w:r>
              <w:t>0.163</w:t>
            </w:r>
          </w:p>
        </w:tc>
        <w:tc>
          <w:tcPr>
            <w:tcW w:type="dxa" w:w="1881"/>
          </w:tcPr>
          <w:p>
            <w:r>
              <w:t>0.347</w:t>
            </w:r>
          </w:p>
        </w:tc>
        <w:tc>
          <w:tcPr>
            <w:tcW w:type="dxa" w:w="1881"/>
          </w:tcPr>
          <w:p>
            <w:r>
              <w:t>0.270</w:t>
            </w:r>
          </w:p>
        </w:tc>
      </w:tr>
    </w:tbl>
    <w:p/>
    <w:p>
      <w:pPr>
        <w:jc w:val="center"/>
      </w:pPr>
      <w:r>
        <w:drawing>
          <wp:inline xmlns:a="http://schemas.openxmlformats.org/drawingml/2006/main" xmlns:pic="http://schemas.openxmlformats.org/drawingml/2006/picture">
            <wp:extent cx="5400000" cy="3035368"/>
            <wp:docPr id="1" name="Picture 1"/>
            <wp:cNvGraphicFramePr>
              <a:graphicFrameLocks noChangeAspect="1"/>
            </wp:cNvGraphicFramePr>
            <a:graphic>
              <a:graphicData uri="http://schemas.openxmlformats.org/drawingml/2006/picture">
                <pic:pic>
                  <pic:nvPicPr>
                    <pic:cNvPr id="0" name="Figure_S2.jpg"/>
                    <pic:cNvPicPr/>
                  </pic:nvPicPr>
                  <pic:blipFill>
                    <a:blip r:embed="rId9"/>
                    <a:stretch>
                      <a:fillRect/>
                    </a:stretch>
                  </pic:blipFill>
                  <pic:spPr>
                    <a:xfrm>
                      <a:off x="0" y="0"/>
                      <a:ext cx="5400000" cy="3035368"/>
                    </a:xfrm>
                    <a:prstGeom prst="rect"/>
                  </pic:spPr>
                </pic:pic>
              </a:graphicData>
            </a:graphic>
          </wp:inline>
        </w:drawing>
      </w:r>
    </w:p>
    <w:p>
      <w:pPr>
        <w:jc w:val="both"/>
      </w:pPr>
      <w:r>
        <w:rPr>
          <w:b/>
        </w:rPr>
        <w:t xml:space="preserve">Figure S2. </w:t>
      </w:r>
      <w:r>
        <w:t>Robustness of derived triggers across four catalogue configurations. The four leftmost bar groups show CSI, POD, and HSS values for the pooled trigger under different event-labeling windows (Original 30-78 day, and 3/5/7-day peak subsets). All four values cluster near CSI 0.11 to 0.14, confirming that catalogue window precision is not the limiting factor. The two rightmost bar groups show the substantial improvement from season-stratified triggers with basin-appropriate rainfall source (pre-monsoon uses trans-boundary rainfall; monsoon uses local rainfall).</w:t>
      </w:r>
    </w:p>
    <w:p>
      <w:r>
        <w:br w:type="page"/>
      </w:r>
    </w:p>
    <w:p>
      <w:pPr>
        <w:pStyle w:val="Heading1"/>
      </w:pPr>
      <w:r>
        <w:t>S3. SAR versus optical reference overlay analysis</w:t>
      </w:r>
    </w:p>
    <w:p>
      <w:pPr>
        <w:jc w:val="both"/>
      </w:pPr>
      <w:r>
        <w:t>Figure S1 visualizes the two structural asymmetries between Sentinel-1 change-based flood mapping and Sentinel-2 plus Landsat optical reference discussed in Section 5.2 of the main text. The top row shows the July 2020 event (small flash flood); the bottom row shows the June 2022 catastrophic event. Blue pixels indicate S1-detected flood, green pixels indicate optical-detected water, yellow pixels indicate both agree.</w:t>
      </w:r>
    </w:p>
    <w:p>
      <w:pPr>
        <w:jc w:val="center"/>
      </w:pPr>
      <w:r>
        <w:drawing>
          <wp:inline xmlns:a="http://schemas.openxmlformats.org/drawingml/2006/main" xmlns:pic="http://schemas.openxmlformats.org/drawingml/2006/picture">
            <wp:extent cx="5760000" cy="4960001"/>
            <wp:docPr id="2" name="Picture 2"/>
            <wp:cNvGraphicFramePr>
              <a:graphicFrameLocks noChangeAspect="1"/>
            </wp:cNvGraphicFramePr>
            <a:graphic>
              <a:graphicData uri="http://schemas.openxmlformats.org/drawingml/2006/picture">
                <pic:pic>
                  <pic:nvPicPr>
                    <pic:cNvPr id="0" name="Figure_S1.jpg"/>
                    <pic:cNvPicPr/>
                  </pic:nvPicPr>
                  <pic:blipFill>
                    <a:blip r:embed="rId10"/>
                    <a:stretch>
                      <a:fillRect/>
                    </a:stretch>
                  </pic:blipFill>
                  <pic:spPr>
                    <a:xfrm>
                      <a:off x="0" y="0"/>
                      <a:ext cx="5760000" cy="4960001"/>
                    </a:xfrm>
                    <a:prstGeom prst="rect"/>
                  </pic:spPr>
                </pic:pic>
              </a:graphicData>
            </a:graphic>
          </wp:inline>
        </w:drawing>
      </w:r>
    </w:p>
    <w:p>
      <w:pPr>
        <w:jc w:val="both"/>
      </w:pPr>
      <w:r>
        <w:rPr>
          <w:b/>
        </w:rPr>
        <w:t xml:space="preserve">Figure S1. </w:t>
      </w:r>
      <w:r>
        <w:t>SAR versus optical reference disagreement analysis for two events. Top row (July 2020): the optical MNDWI (green, center) detects the Sylhet haor lakes as standing water; the S1 change-based mask (blue, left) correctly excludes these permanent water bodies via JRC Global Surface Water masking and pre-event water class subtraction, so it detects only new flood water along river channels. The two maps are therefore spatially disjoint even though both are internally correct. Bottom row (June 2022): the S1 method (blue) detects widespread catastrophic flooding across the eastern part of Sylhet Division, but the optical composite (green) is limited to isolated cloud-free pixels in the western strip where the yellow overlap agreement is strong. This confirms the S1 method produces physically meaningful extents where both sensors admit comparison.</w:t>
      </w:r>
    </w:p>
    <w:p>
      <w:r>
        <w:br w:type="page"/>
      </w:r>
    </w:p>
    <w:p>
      <w:pPr>
        <w:pStyle w:val="Heading1"/>
      </w:pPr>
      <w:r>
        <w:t>S4. Complete cost-benefit breakdown</w:t>
      </w:r>
    </w:p>
    <w:p>
      <w:pPr>
        <w:jc w:val="both"/>
      </w:pPr>
      <w:r>
        <w:t>Table S3 provides the complete per-event cost-benefit calculation. Anticipatory action investment per event is estimated as exposed population divided by average household size (4.5) multiplied by the per-household intervention cost of USD 53 (Bangladesh Red Crescent Society and World Food Programme Jamuna 2020 programme). Avoided damages are reported under three return-on-investment scenarios: conservative 3:1, central 7:1 (Food and Agriculture Organization, World Food Programme, and OCHA 2025 multi-country evidence review), and optimistic 15:1.</w:t>
      </w:r>
    </w:p>
    <w:p>
      <w:pPr>
        <w:spacing w:before="240"/>
      </w:pPr>
      <w:r>
        <w:rPr>
          <w:b/>
        </w:rPr>
        <w:t xml:space="preserve">Table S3. </w:t>
      </w:r>
      <w:r>
        <w:t>Per-event cost-benefit analysis, USD million.</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rPr>
              <w:t>Event</w:t>
            </w:r>
          </w:p>
        </w:tc>
        <w:tc>
          <w:tcPr>
            <w:tcW w:type="dxa" w:w="1568"/>
          </w:tcPr>
          <w:p>
            <w:r>
              <w:rPr>
                <w:b/>
              </w:rPr>
              <w:t>Households</w:t>
            </w:r>
          </w:p>
        </w:tc>
        <w:tc>
          <w:tcPr>
            <w:tcW w:type="dxa" w:w="1568"/>
          </w:tcPr>
          <w:p>
            <w:r>
              <w:rPr>
                <w:b/>
              </w:rPr>
              <w:t>AA cost</w:t>
            </w:r>
          </w:p>
        </w:tc>
        <w:tc>
          <w:tcPr>
            <w:tcW w:type="dxa" w:w="1568"/>
          </w:tcPr>
          <w:p>
            <w:r>
              <w:rPr>
                <w:b/>
              </w:rPr>
              <w:t>Cons 3:1</w:t>
            </w:r>
          </w:p>
        </w:tc>
        <w:tc>
          <w:tcPr>
            <w:tcW w:type="dxa" w:w="1568"/>
          </w:tcPr>
          <w:p>
            <w:r>
              <w:rPr>
                <w:b/>
              </w:rPr>
              <w:t>Central 7:1</w:t>
            </w:r>
          </w:p>
        </w:tc>
        <w:tc>
          <w:tcPr>
            <w:tcW w:type="dxa" w:w="1568"/>
          </w:tcPr>
          <w:p>
            <w:r>
              <w:rPr>
                <w:b/>
              </w:rPr>
              <w:t>Optim 15:1</w:t>
            </w:r>
          </w:p>
        </w:tc>
      </w:tr>
      <w:tr>
        <w:tc>
          <w:tcPr>
            <w:tcW w:type="dxa" w:w="1568"/>
          </w:tcPr>
          <w:p>
            <w:r>
              <w:t>2017 April</w:t>
            </w:r>
          </w:p>
        </w:tc>
        <w:tc>
          <w:tcPr>
            <w:tcW w:type="dxa" w:w="1568"/>
          </w:tcPr>
          <w:p>
            <w:r>
              <w:t>414,080</w:t>
            </w:r>
          </w:p>
        </w:tc>
        <w:tc>
          <w:tcPr>
            <w:tcW w:type="dxa" w:w="1568"/>
          </w:tcPr>
          <w:p>
            <w:r>
              <w:t>21.95</w:t>
            </w:r>
          </w:p>
        </w:tc>
        <w:tc>
          <w:tcPr>
            <w:tcW w:type="dxa" w:w="1568"/>
          </w:tcPr>
          <w:p>
            <w:r>
              <w:t>65.8</w:t>
            </w:r>
          </w:p>
        </w:tc>
        <w:tc>
          <w:tcPr>
            <w:tcW w:type="dxa" w:w="1568"/>
          </w:tcPr>
          <w:p>
            <w:r>
              <w:t>153.6</w:t>
            </w:r>
          </w:p>
        </w:tc>
        <w:tc>
          <w:tcPr>
            <w:tcW w:type="dxa" w:w="1568"/>
          </w:tcPr>
          <w:p>
            <w:r>
              <w:t>329.2</w:t>
            </w:r>
          </w:p>
        </w:tc>
      </w:tr>
      <w:tr>
        <w:tc>
          <w:tcPr>
            <w:tcW w:type="dxa" w:w="1568"/>
          </w:tcPr>
          <w:p>
            <w:r>
              <w:t>2019 July</w:t>
            </w:r>
          </w:p>
        </w:tc>
        <w:tc>
          <w:tcPr>
            <w:tcW w:type="dxa" w:w="1568"/>
          </w:tcPr>
          <w:p>
            <w:r>
              <w:t>126,563</w:t>
            </w:r>
          </w:p>
        </w:tc>
        <w:tc>
          <w:tcPr>
            <w:tcW w:type="dxa" w:w="1568"/>
          </w:tcPr>
          <w:p>
            <w:r>
              <w:t>6.71</w:t>
            </w:r>
          </w:p>
        </w:tc>
        <w:tc>
          <w:tcPr>
            <w:tcW w:type="dxa" w:w="1568"/>
          </w:tcPr>
          <w:p>
            <w:r>
              <w:t>20.1</w:t>
            </w:r>
          </w:p>
        </w:tc>
        <w:tc>
          <w:tcPr>
            <w:tcW w:type="dxa" w:w="1568"/>
          </w:tcPr>
          <w:p>
            <w:r>
              <w:t>46.9</w:t>
            </w:r>
          </w:p>
        </w:tc>
        <w:tc>
          <w:tcPr>
            <w:tcW w:type="dxa" w:w="1568"/>
          </w:tcPr>
          <w:p>
            <w:r>
              <w:t>100.6</w:t>
            </w:r>
          </w:p>
        </w:tc>
      </w:tr>
      <w:tr>
        <w:tc>
          <w:tcPr>
            <w:tcW w:type="dxa" w:w="1568"/>
          </w:tcPr>
          <w:p>
            <w:r>
              <w:t>2020 July</w:t>
            </w:r>
          </w:p>
        </w:tc>
        <w:tc>
          <w:tcPr>
            <w:tcW w:type="dxa" w:w="1568"/>
          </w:tcPr>
          <w:p>
            <w:r>
              <w:t>69,729</w:t>
            </w:r>
          </w:p>
        </w:tc>
        <w:tc>
          <w:tcPr>
            <w:tcW w:type="dxa" w:w="1568"/>
          </w:tcPr>
          <w:p>
            <w:r>
              <w:t>3.70</w:t>
            </w:r>
          </w:p>
        </w:tc>
        <w:tc>
          <w:tcPr>
            <w:tcW w:type="dxa" w:w="1568"/>
          </w:tcPr>
          <w:p>
            <w:r>
              <w:t>11.1</w:t>
            </w:r>
          </w:p>
        </w:tc>
        <w:tc>
          <w:tcPr>
            <w:tcW w:type="dxa" w:w="1568"/>
          </w:tcPr>
          <w:p>
            <w:r>
              <w:t>25.9</w:t>
            </w:r>
          </w:p>
        </w:tc>
        <w:tc>
          <w:tcPr>
            <w:tcW w:type="dxa" w:w="1568"/>
          </w:tcPr>
          <w:p>
            <w:r>
              <w:t>55.5</w:t>
            </w:r>
          </w:p>
        </w:tc>
      </w:tr>
      <w:tr>
        <w:tc>
          <w:tcPr>
            <w:tcW w:type="dxa" w:w="1568"/>
          </w:tcPr>
          <w:p>
            <w:r>
              <w:t>2022 May</w:t>
            </w:r>
          </w:p>
        </w:tc>
        <w:tc>
          <w:tcPr>
            <w:tcW w:type="dxa" w:w="1568"/>
          </w:tcPr>
          <w:p>
            <w:r>
              <w:t>410,232</w:t>
            </w:r>
          </w:p>
        </w:tc>
        <w:tc>
          <w:tcPr>
            <w:tcW w:type="dxa" w:w="1568"/>
          </w:tcPr>
          <w:p>
            <w:r>
              <w:t>21.74</w:t>
            </w:r>
          </w:p>
        </w:tc>
        <w:tc>
          <w:tcPr>
            <w:tcW w:type="dxa" w:w="1568"/>
          </w:tcPr>
          <w:p>
            <w:r>
              <w:t>65.2</w:t>
            </w:r>
          </w:p>
        </w:tc>
        <w:tc>
          <w:tcPr>
            <w:tcW w:type="dxa" w:w="1568"/>
          </w:tcPr>
          <w:p>
            <w:r>
              <w:t>152.2</w:t>
            </w:r>
          </w:p>
        </w:tc>
        <w:tc>
          <w:tcPr>
            <w:tcW w:type="dxa" w:w="1568"/>
          </w:tcPr>
          <w:p>
            <w:r>
              <w:t>326.1</w:t>
            </w:r>
          </w:p>
        </w:tc>
      </w:tr>
      <w:tr>
        <w:tc>
          <w:tcPr>
            <w:tcW w:type="dxa" w:w="1568"/>
          </w:tcPr>
          <w:p>
            <w:r>
              <w:t>2022 June</w:t>
            </w:r>
          </w:p>
        </w:tc>
        <w:tc>
          <w:tcPr>
            <w:tcW w:type="dxa" w:w="1568"/>
          </w:tcPr>
          <w:p>
            <w:r>
              <w:t>891,401</w:t>
            </w:r>
          </w:p>
        </w:tc>
        <w:tc>
          <w:tcPr>
            <w:tcW w:type="dxa" w:w="1568"/>
          </w:tcPr>
          <w:p>
            <w:r>
              <w:t>47.24</w:t>
            </w:r>
          </w:p>
        </w:tc>
        <w:tc>
          <w:tcPr>
            <w:tcW w:type="dxa" w:w="1568"/>
          </w:tcPr>
          <w:p>
            <w:r>
              <w:t>141.7</w:t>
            </w:r>
          </w:p>
        </w:tc>
        <w:tc>
          <w:tcPr>
            <w:tcW w:type="dxa" w:w="1568"/>
          </w:tcPr>
          <w:p>
            <w:r>
              <w:t>330.7</w:t>
            </w:r>
          </w:p>
        </w:tc>
        <w:tc>
          <w:tcPr>
            <w:tcW w:type="dxa" w:w="1568"/>
          </w:tcPr>
          <w:p>
            <w:r>
              <w:t>708.5</w:t>
            </w:r>
          </w:p>
        </w:tc>
      </w:tr>
      <w:tr>
        <w:tc>
          <w:tcPr>
            <w:tcW w:type="dxa" w:w="1568"/>
          </w:tcPr>
          <w:p>
            <w:r>
              <w:t>2023 May</w:t>
            </w:r>
          </w:p>
        </w:tc>
        <w:tc>
          <w:tcPr>
            <w:tcW w:type="dxa" w:w="1568"/>
          </w:tcPr>
          <w:p>
            <w:r>
              <w:t>68,564</w:t>
            </w:r>
          </w:p>
        </w:tc>
        <w:tc>
          <w:tcPr>
            <w:tcW w:type="dxa" w:w="1568"/>
          </w:tcPr>
          <w:p>
            <w:r>
              <w:t>3.63</w:t>
            </w:r>
          </w:p>
        </w:tc>
        <w:tc>
          <w:tcPr>
            <w:tcW w:type="dxa" w:w="1568"/>
          </w:tcPr>
          <w:p>
            <w:r>
              <w:t>10.9</w:t>
            </w:r>
          </w:p>
        </w:tc>
        <w:tc>
          <w:tcPr>
            <w:tcW w:type="dxa" w:w="1568"/>
          </w:tcPr>
          <w:p>
            <w:r>
              <w:t>25.4</w:t>
            </w:r>
          </w:p>
        </w:tc>
        <w:tc>
          <w:tcPr>
            <w:tcW w:type="dxa" w:w="1568"/>
          </w:tcPr>
          <w:p>
            <w:r>
              <w:t>54.5</w:t>
            </w:r>
          </w:p>
        </w:tc>
      </w:tr>
      <w:tr>
        <w:tc>
          <w:tcPr>
            <w:tcW w:type="dxa" w:w="1568"/>
          </w:tcPr>
          <w:p>
            <w:r>
              <w:t>2024 July</w:t>
            </w:r>
          </w:p>
        </w:tc>
        <w:tc>
          <w:tcPr>
            <w:tcW w:type="dxa" w:w="1568"/>
          </w:tcPr>
          <w:p>
            <w:r>
              <w:t>755,716</w:t>
            </w:r>
          </w:p>
        </w:tc>
        <w:tc>
          <w:tcPr>
            <w:tcW w:type="dxa" w:w="1568"/>
          </w:tcPr>
          <w:p>
            <w:r>
              <w:t>40.05</w:t>
            </w:r>
          </w:p>
        </w:tc>
        <w:tc>
          <w:tcPr>
            <w:tcW w:type="dxa" w:w="1568"/>
          </w:tcPr>
          <w:p>
            <w:r>
              <w:t>120.2</w:t>
            </w:r>
          </w:p>
        </w:tc>
        <w:tc>
          <w:tcPr>
            <w:tcW w:type="dxa" w:w="1568"/>
          </w:tcPr>
          <w:p>
            <w:r>
              <w:t>280.4</w:t>
            </w:r>
          </w:p>
        </w:tc>
        <w:tc>
          <w:tcPr>
            <w:tcW w:type="dxa" w:w="1568"/>
          </w:tcPr>
          <w:p>
            <w:r>
              <w:t>600.8</w:t>
            </w:r>
          </w:p>
        </w:tc>
      </w:tr>
      <w:tr>
        <w:tc>
          <w:tcPr>
            <w:tcW w:type="dxa" w:w="1568"/>
          </w:tcPr>
          <w:p>
            <w:r>
              <w:rPr>
                <w:b/>
              </w:rPr>
              <w:t>TOTAL</w:t>
            </w:r>
          </w:p>
        </w:tc>
        <w:tc>
          <w:tcPr>
            <w:tcW w:type="dxa" w:w="1568"/>
          </w:tcPr>
          <w:p>
            <w:r>
              <w:rPr>
                <w:b/>
              </w:rPr>
              <w:t>2,736,285</w:t>
            </w:r>
          </w:p>
        </w:tc>
        <w:tc>
          <w:tcPr>
            <w:tcW w:type="dxa" w:w="1568"/>
          </w:tcPr>
          <w:p>
            <w:r>
              <w:rPr>
                <w:b/>
              </w:rPr>
              <w:t>145.02</w:t>
            </w:r>
          </w:p>
        </w:tc>
        <w:tc>
          <w:tcPr>
            <w:tcW w:type="dxa" w:w="1568"/>
          </w:tcPr>
          <w:p>
            <w:r>
              <w:rPr>
                <w:b/>
              </w:rPr>
              <w:t>435.1</w:t>
            </w:r>
          </w:p>
        </w:tc>
        <w:tc>
          <w:tcPr>
            <w:tcW w:type="dxa" w:w="1568"/>
          </w:tcPr>
          <w:p>
            <w:r>
              <w:rPr>
                <w:b/>
              </w:rPr>
              <w:t>1,015.2</w:t>
            </w:r>
          </w:p>
        </w:tc>
        <w:tc>
          <w:tcPr>
            <w:tcW w:type="dxa" w:w="1568"/>
          </w:tcPr>
          <w:p>
            <w:r>
              <w:rPr>
                <w:b/>
              </w:rPr>
              <w:t>2,175.4</w:t>
            </w:r>
          </w:p>
        </w:tc>
      </w:tr>
    </w:tbl>
    <w:p/>
    <w:p>
      <w:pPr>
        <w:jc w:val="center"/>
      </w:pPr>
      <w:r>
        <w:drawing>
          <wp:inline xmlns:a="http://schemas.openxmlformats.org/drawingml/2006/main" xmlns:pic="http://schemas.openxmlformats.org/drawingml/2006/picture">
            <wp:extent cx="5760000" cy="2864933"/>
            <wp:docPr id="3" name="Picture 3"/>
            <wp:cNvGraphicFramePr>
              <a:graphicFrameLocks noChangeAspect="1"/>
            </wp:cNvGraphicFramePr>
            <a:graphic>
              <a:graphicData uri="http://schemas.openxmlformats.org/drawingml/2006/picture">
                <pic:pic>
                  <pic:nvPicPr>
                    <pic:cNvPr id="0" name="Figure_S3.jpg"/>
                    <pic:cNvPicPr/>
                  </pic:nvPicPr>
                  <pic:blipFill>
                    <a:blip r:embed="rId11"/>
                    <a:stretch>
                      <a:fillRect/>
                    </a:stretch>
                  </pic:blipFill>
                  <pic:spPr>
                    <a:xfrm>
                      <a:off x="0" y="0"/>
                      <a:ext cx="5760000" cy="2864933"/>
                    </a:xfrm>
                    <a:prstGeom prst="rect"/>
                  </pic:spPr>
                </pic:pic>
              </a:graphicData>
            </a:graphic>
          </wp:inline>
        </w:drawing>
      </w:r>
    </w:p>
    <w:p>
      <w:pPr>
        <w:jc w:val="both"/>
      </w:pPr>
      <w:r>
        <w:rPr>
          <w:b/>
        </w:rPr>
        <w:t xml:space="preserve">Figure S3. </w:t>
      </w:r>
      <w:r>
        <w:t>Per-event cost-benefit analysis comparing anticipatory action investment (blue) with avoided damages under conservative 3:1 (light green) and central 7:1 (dark green) return-on-investment scenarios. Under the central scenario, avoided damages exceed investment by an order of magnitude across all seven events.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