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AmazonHelp AI Support Agent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Hiver SDE Intern Take-Home Assignment — Report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Prepared by Nancy — KIIT University</w:t>
      </w:r>
    </w:p>
    <w:p>
      <w:pPr>
        <w:shd w:fill="D9D9D9" w:val="clear"/>
        <w:spacing w:after="200" w:before="10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This report is a fill-in-the-numbers template. Every “[FILL IN]” marker below is replaced with real output from `python -m src.eval.run_eval` after running the pipeline against the real Kaggle dataset and a chosen free LLM provider (Ollama / Groq / Gemini). See README.md &gt; “Get to a submittable report” in the project repo for the exact command sequence. Sections without a marker are already complete.</w:t>
      </w:r>
    </w:p>
    <w:p>
      <w:pPr>
        <w:pStyle w:val="Heading1"/>
        <w:pBdr>
          <w:bottom w:val="single" w:color="000000" w:sz="6" w:space="4"/>
        </w:pBdr>
        <w:spacing w:after="160" w:before="360"/>
      </w:pPr>
      <w:r>
        <w:t xml:space="preserve">1. Problem Framing</w:t>
      </w:r>
    </w:p>
    <w:p>
      <w:pPr>
        <w:pStyle w:val="Heading3"/>
        <w:spacing w:after="100" w:before="200"/>
      </w:pPr>
      <w:r>
        <w:t xml:space="preserve">What “good” means for this brand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AmazonHelp's Twitter support handles a high volume of short, often impatient public complaints across a wide spread of issue types (delivery, refunds, defects, account access, billing). For this brand, “good” means: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High escalation recall on the issues that actually need a human — account security, genuinely angry or repeat-contact customers, anything the agent isn't well-grounded on. A wrong auto-reply on a bad issue is reputationally worse than a slower human reply.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A reasonable auto-handle rate on the large volume of routine, well-precedented issues (where's my order, how do I return this) — the whole point of the system is to not send every one of these to a human.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Grounded, not hallucinated, replies — no invented refund amounts, policies, or timelines. This matters more than reply eloquence.</w:t>
      </w:r>
    </w:p>
    <w:p>
      <w:pPr>
        <w:pStyle w:val="Heading3"/>
        <w:spacing w:after="100" w:before="200"/>
      </w:pPr>
      <w:r>
        <w:t xml:space="preserve">What we chose not to build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No multi-turn conversation state / follow-up handling — the agent classifies and drafts for a single customer message (with one turn of prior context if available), not an ongoing back-and-forth.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No actual sending / Twitter API integration — this produces a draft and a routing decision, which is what the assignment asks for, not a live bot.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No fine-tuning — zero-shot LLM classification + retrieval-grounded generation both work without labeled training data on day one; a 150–250 example golden set is not enough to fine-tune on responsibly.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No multi-brand generalization work — the pipeline is brand-scoped by design (config.BRAND), since resolution patterns genuinely differ brand to brand.</w:t>
      </w:r>
    </w:p>
    <w:p>
      <w:pPr>
        <w:pStyle w:val="Heading1"/>
        <w:pBdr>
          <w:bottom w:val="single" w:color="000000" w:sz="6" w:space="4"/>
        </w:pBdr>
        <w:spacing w:after="160" w:before="360"/>
      </w:pPr>
      <w:r>
        <w:t xml:space="preserve">2. Results vs. Baselines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Run: python -m src.eval.run_eval --judge-n 40</w:t>
      </w:r>
    </w:p>
    <w:p>
      <w:pPr>
        <w:pStyle w:val="Heading2"/>
        <w:spacing w:after="120" w:before="280"/>
      </w:pPr>
      <w:r>
        <w:t xml:space="preserve">Intent classification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220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Macro F1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Weighted F1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Agent (LLM zero-shot)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Simple baseline (TF-IDF + LogReg)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Trivial baseline (majority class)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2–3 sentences on what this shows — does the zero-shot classifier actually beat a baseline trained directly on the golden set? If not, that is a real, reportable finding, not something to hide.]</w:t>
      </w:r>
    </w:p>
    <w:p>
      <w:pPr>
        <w:pStyle w:val="Heading2"/>
        <w:spacing w:after="120" w:before="280"/>
      </w:pPr>
      <w:r>
        <w:t xml:space="preserve">Escalation decision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Positive class = “escalate”.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</w:tblGrid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Predicted auto-handle rate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True auto-handle rate (golden labels)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is the gap between predicted and true auto-handle rate small? A large gap either direction means HIVER_CONF_THRESHOLD is miscalibrated for this data — say so plainly if it is.]</w:t>
      </w:r>
    </w:p>
    <w:p>
      <w:pPr>
        <w:pStyle w:val="Heading2"/>
        <w:spacing w:after="120" w:before="280"/>
      </w:pPr>
      <w:r>
        <w:t xml:space="preserve">Reply quality (LLM-as-judge, 1–5 scale)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Sample size n = [FILL IN]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60"/>
        <w:gridCol w:w="1360"/>
        <w:gridCol w:w="900"/>
        <w:gridCol w:w="1360"/>
        <w:gridCol w:w="1000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Relevance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Groundedness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Tone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Actionability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Overall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Agent (retrieval + generation)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Retrieval-only baseline (nearest reply, no generation)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Trivial baseline (most common historical reply)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</w:tbl>
    <w:p>
      <w:pPr>
        <w:pStyle w:val="Heading2"/>
        <w:spacing w:after="120" w:before="280"/>
      </w:pPr>
      <w:r>
        <w:t xml:space="preserve">Judge ↔ human agreement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Computed on the hand-scored subsample; see data/golden_eval/labeling_guide.md (“two-pass workflow”) in the repo.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00"/>
      </w:tblGrid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Pearson 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Spearman 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Exact agreement rate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Within-1-point agreement rate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[FILL IN]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if within-1-point agreement is below roughly 0.7, the judge scores in this report should be read as directional, not precise — say so.]</w:t>
      </w:r>
    </w:p>
    <w:p>
      <w:pPr>
        <w:pStyle w:val="Heading1"/>
        <w:pBdr>
          <w:bottom w:val="single" w:color="000000" w:sz="6" w:space="4"/>
        </w:pBdr>
        <w:spacing w:after="160" w:before="360"/>
      </w:pPr>
      <w:r>
        <w:t xml:space="preserve">3. Failure Analysis — Top 5 Failure Modes</w:t>
      </w:r>
    </w:p>
    <w:p>
      <w:pPr>
        <w:shd w:fill="D9D9D9" w:val="clear"/>
        <w:spacing w:after="200" w:before="10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Fill this in once you've read through data/processed/eval_results.csv and data/processed/judge_scores.csv from a real run. For each mode: name it, give 1–2 real (message, agent output) examples pulled directly from those files, and a hypothesis for why it happens. Do not invent examples — replace every bracket below with what you actually observe.</w:t>
      </w:r>
    </w:p>
    <w:p>
      <w:pPr>
        <w:pStyle w:val="Heading3"/>
        <w:spacing w:after="100" w:before="200"/>
      </w:pPr>
      <w:r>
        <w:t xml:space="preserve">Failure mode 1: [name]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real example — customer said "[real message]"; agent produced [intent / reply / escalation output], which was wrong because [reason]]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hypothesis for why this happens — e.g. sparse retrieval coverage for this issue type, ambiguous intent boundary, prompt lacks an example of this phrasing pattern, etc.]</w:t>
      </w:r>
    </w:p>
    <w:p>
      <w:pPr>
        <w:pStyle w:val="Heading3"/>
        <w:spacing w:after="100" w:before="200"/>
      </w:pPr>
      <w:r>
        <w:t xml:space="preserve">Failure mode 2: [name]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real example — customer said "[real message]"; agent produced [intent / reply / escalation output], which was wrong because [reason]]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hypothesis for why this happens — e.g. sparse retrieval coverage for this issue type, ambiguous intent boundary, prompt lacks an example of this phrasing pattern, etc.]</w:t>
      </w:r>
    </w:p>
    <w:p>
      <w:pPr>
        <w:pStyle w:val="Heading3"/>
        <w:spacing w:after="100" w:before="200"/>
      </w:pPr>
      <w:r>
        <w:t xml:space="preserve">Failure mode 3: [name]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real example — customer said "[real message]"; agent produced [intent / reply / escalation output], which was wrong because [reason]]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hypothesis for why this happens — e.g. sparse retrieval coverage for this issue type, ambiguous intent boundary, prompt lacks an example of this phrasing pattern, etc.]</w:t>
      </w:r>
    </w:p>
    <w:p>
      <w:pPr>
        <w:pStyle w:val="Heading3"/>
        <w:spacing w:after="100" w:before="200"/>
      </w:pPr>
      <w:r>
        <w:t xml:space="preserve">Failure mode 4: [name]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real example — customer said "[real message]"; agent produced [intent / reply / escalation output], which was wrong because [reason]]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hypothesis for why this happens — e.g. sparse retrieval coverage for this issue type, ambiguous intent boundary, prompt lacks an example of this phrasing pattern, etc.]</w:t>
      </w:r>
    </w:p>
    <w:p>
      <w:pPr>
        <w:pStyle w:val="Heading3"/>
        <w:spacing w:after="100" w:before="200"/>
      </w:pPr>
      <w:r>
        <w:t xml:space="preserve">Failure mode 5: [name]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real example — customer said "[real message]"; agent produced [intent / reply / escalation output], which was wrong because [reason]]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[FILL IN: hypothesis for why this happens — e.g. sparse retrieval coverage for this issue type, ambiguous intent boundary, prompt lacks an example of this phrasing pattern, etc.]</w:t>
      </w:r>
    </w:p>
    <w:p>
      <w:pPr>
        <w:pStyle w:val="Heading1"/>
        <w:pBdr>
          <w:bottom w:val="single" w:color="000000" w:sz="6" w:space="4"/>
        </w:pBdr>
        <w:spacing w:after="160" w:before="360"/>
      </w:pPr>
      <w:r>
        <w:t xml:space="preserve">4. What Is Misleading About My Headline Number?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Mandatory section — answered honestly rather than restating generic limitations.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The TF-IDF baseline is trained and evaluated on overlapping data drawn from the same 200-example golden set. [FILL IN]: state whether a proper train/test split was used within the golden set, or whether evaluation was in-sample — if in-sample, this baseline's number is optimistic and should be labeled as such.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Single labeler, no inter-annotator agreement — the “true” intent and escalation labels reflect one person's judgment on genuinely ambiguous messages. A second labeler would likely disagree on some fraction of the harder (long / multi-issue) examples, which would lower measured accuracy for both the agent and every baseline.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The escalation confidence threshold (0.55) was picked before seeing results and left untuned — honest, but it means reported escalation precision/recall is not the best this approach could do with minimal tuning, nor validated on a held-out split.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The dataset is subsampled ([FILL IN]: your MAX_THREADS value, out of the brand's full historical volume) — rare intents and unusual phrasings are underrepresented in both the retrieval corpus and the golden set relative to true production volume.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LLM judge and agent [FILL IN]: do / do not use the same underlying model — if the same, judge scores likely carry some self-grading generosity bias.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[FILL IN]: any additional issue actually observed in your run — e.g. the judge consistently over-scoring short generic replies, a particular intent the classifier systematically confuses, etc.</w:t>
      </w:r>
    </w:p>
    <w:p>
      <w:pPr>
        <w:pStyle w:val="Heading1"/>
        <w:pBdr>
          <w:bottom w:val="single" w:color="000000" w:sz="6" w:space="4"/>
        </w:pBdr>
        <w:spacing w:after="160" w:before="360"/>
      </w:pPr>
      <w:r>
        <w:t xml:space="preserve">5. What We'd Do Next With One More Week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Second labeler + inter-annotator agreement (Cohen's kappa) on the golden set, to know how much of the “error” is actually label noise.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Proper train / held-out split for the TF-IDF baseline and for tuning HIVER_CONF_THRESHOLD, instead of the single-pass evaluation used here.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Expand the retrieval corpus beyond the subsample — measure whether grounding score and reply quality improve with more historical threads indexed, and find the point of diminishing returns.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Add conversation-level context (not just one prior turn) for genuinely multi-turn threads, and re-measure intent accuracy on the “long message” golden-set stratum specifically.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A/B a cross-encoder reranker on top of the current bi-encoder retrieval (all-MiniLM-L6-v2) to see if grounding-score quality, not just speed, improves enough to matter.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color w:val="000000"/>
          <w:sz w:val="22"/>
          <w:szCs w:val="22"/>
        </w:rPr>
      </w:pPr>
      <w:r>
        <w:t xml:space="preserve">Try a second, larger free-tier model as the drafting LLM and compare judge scores — the current default is a small/fast model chosen for free-tier throughput, not necessarily the strongest available for free.</w:t>
      </w:r>
    </w:p>
    <w:p>
      <w:pPr>
        <w:pBdr>
          <w:top w:val="single" w:color="000000" w:sz="6" w:space="4"/>
        </w:pBdr>
        <w:spacing w:before="40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Repository: decision_log.md (14 non-obvious design decisions) and README.md (setup, reproduction, and cost breakdown — built entirely on free tools) accompany this report in the submitted repo.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i/>
      <w:i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2026-09-10T13:35:03.687Z</dcterms:created>
  <dcterms:modified xsi:type="dcterms:W3CDTF">2026-09-10T13:35:03.699Z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