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2026-10-06 (round 7; corrections made in place)</w:t>
      </w:r>
    </w:p>
    <w:p>
      <w:pPr>
        <w:pStyle w:val="Heading1"/>
      </w:pPr>
      <w:r>
        <w:t>Abstract</w:t>
      </w:r>
    </w:p>
    <w:p>
      <w:pPr>
        <w:spacing w:after="120"/>
      </w:pPr>
      <w:r>
        <w:t>We report the results of four independent review rounds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re-judged on identical answers by the judge selected against held-back human labels, undefended harm is 58.3% rather than 32.0%, and B13's reduction holds under both judges, Section 13B).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four new corpora -- two memory-poisoning, two injection -- each scored once under predictions committed in advance (38/45 held).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is reserved for out-of-loop validation. Temperature is 0 with fixed seeds throughout, but runs are NOT bit-reproducible: an identical prompt set scored 66, 64 and 61 of 120 across three runs, because Ollama's concurrent batching is not deterministic. Roughly 5 points on n=120 was taken as the noise floor, and no difference smaller than that is claimed anywhere in this document.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4.9% of the user's own words on hold-out 7,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carries a 29.7% ledger-poisoning blast radius, and does nothing against a single-shot attacker, one who distributes attempts across isolated scopes, or one who waits out the ledger time-to-live. (ii) Exfiltration is a tested mechanism whose harm is zero for every agent family tried; that is a finding about 7-8B assistants and says nothing about stronger agents. (iii) Hold-out 4 covers note-shaped poisoning only: its safety-tuned author inverted both instruction-shaped families, which were withdrawn. Hold-out 5 has 131 attacks, so its rates carry about +/-8 points. Neutralisation's benefit roughly doubled on a stronger agent, but that comparison rests on 60 items. (iv) The first three hold-outs are prompt-injection or jailbreak corpora; a good score on them is evidence about detecting overt injected instructions that arrive in memory and says nothing about additive fabrication or preference hijack, for which this project's own mechanism populations remain the only test -- hold-out 4 (round 7) is the first memory-poisoning hold-out. (v) No licence has been attached to the benchmark, which is a deliberate deferral by the owner.</w:t>
      </w:r>
    </w:p>
    <w:p>
      <w:pPr>
        <w:pStyle w:val="Heading1"/>
      </w:pPr>
      <w:r>
        <w:t>12. Conclusion</w:t>
      </w:r>
    </w:p>
    <w:p>
      <w:pPr>
        <w:spacing w:after="120"/>
      </w:pPr>
      <w:r>
        <w:t>The central result of these four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Two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one addendum committed before scoring that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17.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4-7, each scored once: attack recall against the false-positive rate on benign text (matched benign for the injection hold-outs 5 and 6; untrusted-channel benign notes for the memory-poisoning hold-outs 4 and 7).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1.7e-13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4.2e-58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0.11</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0.0021</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4.8e-06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0.00061</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0.12</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0.047</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3.2e-10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bl>
    <w:p>
      <w:pPr>
        <w:spacing w:after="120"/>
      </w:pPr>
      <w:r>
        <w:t>Multiplicity. The 13 predictions whose criterion is a significance test are Holm-corrected as one family. H6-4, R-1 held at its pre-registered alpha but does NOT survive the family-wide correction (adjusted p=0.11, 0.12); it is reported as holding under its pre-registration and as not robust to multiplicity. Every other held significance prediction survives.</w:t>
      </w:r>
    </w:p>
    <w:p>
      <w:pPr>
        <w:spacing w:after="200"/>
      </w:pPr>
      <w:r>
        <w:rPr>
          <w:i/>
          <w:sz w:val="18"/>
        </w:rPr>
        <w:t>Table 16. Every round-7 pre-registered prediction, scored mechanically from the artifacts (phase17/report_round7.py): 38/45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+5.0 points (p=0.082): at the edge of this document's noise floor and not significant, so it is reported as a possible small cost rather than none. The harmful v1 frame, by contrast, cost 10 points.</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2" name="Picture 2"/>
            <wp:cNvGraphicFramePr>
              <a:graphicFrameLocks noChangeAspect="1"/>
            </wp:cNvGraphicFramePr>
            <a:graphic>
              <a:graphicData uri="http://schemas.openxmlformats.org/drawingml/2006/picture">
                <pic:pic>
                  <pic:nvPicPr>
                    <pic:cNvPr id="0" name="R3_adaptive.png"/>
                    <pic:cNvPicPr/>
                  </pic:nvPicPr>
                  <pic:blipFill>
                    <a:blip r:embed="rId10"/>
                    <a:stretch>
                      <a:fillRect/>
                    </a:stretch>
                  </pic:blipFill>
                  <pic:spPr>
                    <a:xfrm>
                      <a:off x="0" y="0"/>
                      <a:ext cx="5760720" cy="2982020"/>
                    </a:xfrm>
                    <a:prstGeom prst="rect"/>
                  </pic:spPr>
                </pic:pic>
              </a:graphicData>
            </a:graphic>
          </wp:inline>
        </w:drawing>
      </w:r>
    </w:p>
    <w:p>
      <w:pPr>
        <w:spacing w:after="200"/>
      </w:pPr>
      <w:r>
        <w:rPr>
          <w:i/>
          <w:sz w:val="18"/>
        </w:rPr>
        <w:t>Figure 2.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1.7%</w:t>
            </w:r>
          </w:p>
        </w:tc>
        <w:tc>
          <w:tcPr>
            <w:tcW w:type="dxa" w:w="1728"/>
          </w:tcPr>
          <w:p>
            <w:pPr>
              <w:spacing w:after="40"/>
            </w:pPr>
            <w:r>
              <w:rPr>
                <w:sz w:val="18"/>
              </w:rPr>
              <w:t>34.2%</w:t>
            </w:r>
          </w:p>
        </w:tc>
        <w:tc>
          <w:tcPr>
            <w:tcW w:type="dxa" w:w="1728"/>
          </w:tcPr>
          <w:p>
            <w:pPr>
              <w:spacing w:after="40"/>
            </w:pPr>
            <w:r>
              <w:rPr>
                <w:sz w:val="18"/>
              </w:rPr>
              <w:t>5.0%</w:t>
            </w:r>
          </w:p>
        </w:tc>
        <w:tc>
          <w:tcPr>
            <w:tcW w:type="dxa" w:w="1728"/>
          </w:tcPr>
          <w:p>
            <w:pPr>
              <w:spacing w:after="40"/>
            </w:pPr>
            <w:r>
              <w:rPr>
                <w:sz w:val="18"/>
              </w:rPr>
              <w:t>2.8e-09</w:t>
            </w:r>
          </w:p>
        </w:tc>
      </w:tr>
      <w:tr>
        <w:tc>
          <w:tcPr>
            <w:tcW w:type="dxa" w:w="1728"/>
          </w:tcPr>
          <w:p>
            <w:pPr>
              <w:spacing w:after="40"/>
            </w:pPr>
            <w:r>
              <w:rPr>
                <w:sz w:val="18"/>
              </w:rPr>
              <w:t>J2_gemini_original</w:t>
            </w:r>
          </w:p>
        </w:tc>
        <w:tc>
          <w:tcPr>
            <w:tcW w:type="dxa" w:w="1728"/>
          </w:tcPr>
          <w:p>
            <w:pPr>
              <w:spacing w:after="40"/>
            </w:pPr>
            <w:r>
              <w:rPr>
                <w:sz w:val="18"/>
              </w:rPr>
              <w:t>3.3%</w:t>
            </w:r>
          </w:p>
        </w:tc>
        <w:tc>
          <w:tcPr>
            <w:tcW w:type="dxa" w:w="1728"/>
          </w:tcPr>
          <w:p>
            <w:pPr>
              <w:spacing w:after="40"/>
            </w:pPr>
            <w:r>
              <w:rPr>
                <w:sz w:val="18"/>
              </w:rPr>
              <w:t>46.7%</w:t>
            </w:r>
          </w:p>
        </w:tc>
        <w:tc>
          <w:tcPr>
            <w:tcW w:type="dxa" w:w="1728"/>
          </w:tcPr>
          <w:p>
            <w:pPr>
              <w:spacing w:after="40"/>
            </w:pPr>
            <w:r>
              <w:rPr>
                <w:sz w:val="18"/>
              </w:rPr>
              <w:t>8.3%</w:t>
            </w:r>
          </w:p>
        </w:tc>
        <w:tc>
          <w:tcPr>
            <w:tcW w:type="dxa" w:w="1728"/>
          </w:tcPr>
          <w:p>
            <w:pPr>
              <w:spacing w:after="40"/>
            </w:pPr>
            <w:r>
              <w:rPr>
                <w:sz w:val="18"/>
              </w:rPr>
              <w:t>2.8e-14</w:t>
            </w:r>
          </w:p>
        </w:tc>
      </w:tr>
    </w:tbl>
    <w:p>
      <w:pPr>
        <w:spacing w:after="200"/>
      </w:pPr>
      <w:r>
        <w:rPr>
          <w:i/>
          <w:sz w:val="18"/>
        </w:rPr>
        <w:t>Table 19. The harm study re-judged on identical full-text answers by the original judge and by the judge adopted against held-back human labels (J2_gemini_original), on the stratum of families where both judges' coverage is complete (120 items: authority_impersonation, conditional_backdoor, exfiltration_instruction, memory_worm, policy_revocation, preference_hijack). PARTIAL: PARTIAL: the Gemini free-tier daily quota (500 requests) ran out with 166 no-poison verdicts outstanding. Undefended harm is complete on all items; base rate and B13 arms are on the named family stratum only. Complete with `python -m phase17.harm_judge_fix rejudge` after the quota resets.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3" name="Picture 3"/>
            <wp:cNvGraphicFramePr>
              <a:graphicFrameLocks noChangeAspect="1"/>
            </wp:cNvGraphicFramePr>
            <a:graphic>
              <a:graphicData uri="http://schemas.openxmlformats.org/drawingml/2006/picture">
                <pic:pic>
                  <pic:nvPicPr>
                    <pic:cNvPr id="0" name="R2_harm.png"/>
                    <pic:cNvPicPr/>
                  </pic:nvPicPr>
                  <pic:blipFill>
                    <a:blip r:embed="rId11"/>
                    <a:stretch>
                      <a:fillRect/>
                    </a:stretch>
                  </pic:blipFill>
                  <pic:spPr>
                    <a:xfrm>
                      <a:off x="0" y="0"/>
                      <a:ext cx="5760720" cy="2534717"/>
                    </a:xfrm>
                    <a:prstGeom prst="rect"/>
                  </pic:spPr>
                </pic:pic>
              </a:graphicData>
            </a:graphic>
          </wp:inline>
        </w:drawing>
      </w:r>
    </w:p>
    <w:p>
      <w:pPr>
        <w:spacing w:after="200"/>
      </w:pPr>
      <w:r>
        <w:rPr>
          <w:i/>
          <w:sz w:val="18"/>
        </w:rPr>
        <w:t>Figure 3. Left: the harm study's four arms with 95% Wilson intervals (original judge). Right: the same undefended answers scored by the original judge and by the judge adopted against held-back human labels.</w:t>
      </w:r>
    </w:p>
    <w:p>
      <w:pPr>
        <w:spacing w:after="120"/>
      </w:pPr>
      <w:r>
        <w:t>On all 309 instances (complete under both judges), undefended harm is 32.0% under J0_current against 58.3% under J2_gemini_original (paired p=6.1e-18). This is the question the re-measurement exists for: whether harm LEVELS in this document are under-estimates.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4" name="Picture 4"/>
            <wp:cNvGraphicFramePr>
              <a:graphicFrameLocks noChangeAspect="1"/>
            </wp:cNvGraphicFramePr>
            <a:graphic>
              <a:graphicData uri="http://schemas.openxmlformats.org/drawingml/2006/picture">
                <pic:pic>
                  <pic:nvPicPr>
                    <pic:cNvPr id="0" name="R4_retrieval.png"/>
                    <pic:cNvPicPr/>
                  </pic:nvPicPr>
                  <pic:blipFill>
                    <a:blip r:embed="rId12"/>
                    <a:stretch>
                      <a:fillRect/>
                    </a:stretch>
                  </pic:blipFill>
                  <pic:spPr>
                    <a:xfrm>
                      <a:off x="0" y="0"/>
                      <a:ext cx="5760720" cy="2816352"/>
                    </a:xfrm>
                    <a:prstGeom prst="rect"/>
                  </pic:spPr>
                </pic:pic>
              </a:graphicData>
            </a:graphic>
          </wp:inline>
        </w:drawing>
      </w:r>
    </w:p>
    <w:p>
      <w:pPr>
        <w:spacing w:after="200"/>
      </w:pPr>
      <w:r>
        <w:rPr>
          <w:i/>
          <w:sz w:val="18"/>
        </w:rPr>
        <w:t>Figure 4.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17;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21.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12A. Round 7 in One Paragraph</w:t>
      </w:r>
    </w:p>
    <w:p>
      <w:pPr>
        <w:spacing w:after="120"/>
      </w:pPr>
      <w:r>
        <w:t>Round 7 tested this project's own claims against data built to break them. Of 45 pre-registered predictions 38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 harm levels measured with the original LLM judge were about half what a human-validated judge finds, while the reductions hold under both.</w:t>
      </w:r>
    </w:p>
    <w:p>
      <w:pPr>
        <w:pStyle w:val="Heading1"/>
      </w:pPr>
      <w:r>
        <w:t>14. Publishability, Against the Two-Sided Standard</w:t>
      </w:r>
    </w:p>
    <w:p>
      <w:pPr>
        <w:spacing w:after="120"/>
      </w:pPr>
      <w:r>
        <w:t>The verdict below is computed by phase17/publishability.py from the artifacts, not written by hand. Each criterion is PASS, FAIL or PENDING; evidence not yet produced is PENDING, never PASS. Publishable requires every criterion to pass and every disqualifier to be clear.</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Criterion</w:t>
            </w:r>
          </w:p>
        </w:tc>
        <w:tc>
          <w:tcPr>
            <w:tcW w:type="dxa" w:w="2880"/>
          </w:tcPr>
          <w:p>
            <w:pPr>
              <w:spacing w:after="40"/>
            </w:pPr>
            <w:r>
              <w:rPr>
                <w:b/>
                <w:sz w:val="18"/>
              </w:rPr>
              <w:t>Status</w:t>
            </w:r>
          </w:p>
        </w:tc>
        <w:tc>
          <w:tcPr>
            <w:tcW w:type="dxa" w:w="2880"/>
          </w:tcPr>
          <w:p>
            <w:pPr>
              <w:spacing w:after="40"/>
            </w:pPr>
            <w:r>
              <w:rPr>
                <w:b/>
                <w:sz w:val="18"/>
              </w:rPr>
              <w:t>Evidence</w:t>
            </w:r>
          </w:p>
        </w:tc>
      </w:tr>
      <w:tr>
        <w:tc>
          <w:tcPr>
            <w:tcW w:type="dxa" w:w="2880"/>
          </w:tcPr>
          <w:p>
            <w:pPr>
              <w:spacing w:after="40"/>
            </w:pPr>
            <w:r>
              <w:rPr>
                <w:sz w:val="18"/>
              </w:rPr>
              <w:t>traceable</w:t>
            </w:r>
          </w:p>
        </w:tc>
        <w:tc>
          <w:tcPr>
            <w:tcW w:type="dxa" w:w="2880"/>
          </w:tcPr>
          <w:p>
            <w:pPr>
              <w:spacing w:after="40"/>
            </w:pPr>
            <w:r>
              <w:rPr>
                <w:sz w:val="18"/>
              </w:rPr>
              <w:t>PASS</w:t>
            </w:r>
          </w:p>
        </w:tc>
        <w:tc>
          <w:tcPr>
            <w:tcW w:type="dxa" w:w="2880"/>
          </w:tcPr>
          <w:p>
            <w:pPr>
              <w:spacing w:after="40"/>
            </w:pPr>
            <w:r>
              <w:rPr>
                <w:sz w:val="18"/>
              </w:rPr>
              <w:t>76 inventory rows; missing artifacts: none</w:t>
            </w:r>
          </w:p>
        </w:tc>
      </w:tr>
      <w:tr>
        <w:tc>
          <w:tcPr>
            <w:tcW w:type="dxa" w:w="2880"/>
          </w:tcPr>
          <w:p>
            <w:pPr>
              <w:spacing w:after="40"/>
            </w:pPr>
            <w:r>
              <w:rPr>
                <w:sz w:val="18"/>
              </w:rPr>
              <w:t>fpr and both denominators</w:t>
            </w:r>
          </w:p>
        </w:tc>
        <w:tc>
          <w:tcPr>
            <w:tcW w:type="dxa" w:w="2880"/>
          </w:tcPr>
          <w:p>
            <w:pPr>
              <w:spacing w:after="40"/>
            </w:pPr>
            <w:r>
              <w:rPr>
                <w:sz w:val="18"/>
              </w:rPr>
              <w:t>PASS</w:t>
            </w:r>
          </w:p>
        </w:tc>
        <w:tc>
          <w:tcPr>
            <w:tcW w:type="dxa" w:w="2880"/>
          </w:tcPr>
          <w:p>
            <w:pPr>
              <w:spacing w:after="40"/>
            </w:pPr>
            <w:r>
              <w:rPr>
                <w:sz w:val="18"/>
              </w:rPr>
              <w:t>holdout4: working=86; holdout5: working=47; holdout6: working=294; holdout7: working=NOT_REPORTABLE</w:t>
            </w:r>
          </w:p>
        </w:tc>
      </w:tr>
      <w:tr>
        <w:tc>
          <w:tcPr>
            <w:tcW w:type="dxa" w:w="2880"/>
          </w:tcPr>
          <w:p>
            <w:pPr>
              <w:spacing w:after="40"/>
            </w:pPr>
            <w:r>
              <w:rPr>
                <w:sz w:val="18"/>
              </w:rPr>
              <w:t>holdout informed labelled</w:t>
            </w:r>
          </w:p>
        </w:tc>
        <w:tc>
          <w:tcPr>
            <w:tcW w:type="dxa" w:w="2880"/>
          </w:tcPr>
          <w:p>
            <w:pPr>
              <w:spacing w:after="40"/>
            </w:pPr>
            <w:r>
              <w:rPr>
                <w:sz w:val="18"/>
              </w:rPr>
              <w:t>PASS</w:t>
            </w:r>
          </w:p>
        </w:tc>
        <w:tc>
          <w:tcPr>
            <w:tcW w:type="dxa" w:w="2880"/>
          </w:tcPr>
          <w:p>
            <w:pPr>
              <w:spacing w:after="40"/>
            </w:pPr>
            <w:r>
              <w:rPr>
                <w:sz w:val="18"/>
              </w:rPr>
              <w:t>superseded/unlabelled claims standing: none</w:t>
            </w:r>
          </w:p>
        </w:tc>
      </w:tr>
      <w:tr>
        <w:tc>
          <w:tcPr>
            <w:tcW w:type="dxa" w:w="2880"/>
          </w:tcPr>
          <w:p>
            <w:pPr>
              <w:spacing w:after="40"/>
            </w:pPr>
            <w:r>
              <w:rPr>
                <w:sz w:val="18"/>
              </w:rPr>
              <w:t>negatives in place</w:t>
            </w:r>
          </w:p>
        </w:tc>
        <w:tc>
          <w:tcPr>
            <w:tcW w:type="dxa" w:w="2880"/>
          </w:tcPr>
          <w:p>
            <w:pPr>
              <w:spacing w:after="40"/>
            </w:pPr>
            <w:r>
              <w:rPr>
                <w:sz w:val="18"/>
              </w:rPr>
              <w:t>PASS</w:t>
            </w:r>
          </w:p>
        </w:tc>
        <w:tc>
          <w:tcPr>
            <w:tcW w:type="dxa" w:w="2880"/>
          </w:tcPr>
          <w:p>
            <w:pPr>
              <w:spacing w:after="40"/>
            </w:pPr>
            <w:r>
              <w:rPr>
                <w:sz w:val="18"/>
              </w:rPr>
              <w:t>38/45 held; failures reported in place: ['H5-3', 'H5-6', 'H5-7', 'H6-6', 'H7-6', 'H7-7', 'R-4']; unscored: none</w:t>
            </w:r>
          </w:p>
        </w:tc>
      </w:tr>
      <w:tr>
        <w:tc>
          <w:tcPr>
            <w:tcW w:type="dxa" w:w="2880"/>
          </w:tcPr>
          <w:p>
            <w:pPr>
              <w:spacing w:after="40"/>
            </w:pPr>
            <w:r>
              <w:rPr>
                <w:sz w:val="18"/>
              </w:rPr>
              <w:t>full suite passes</w:t>
            </w:r>
          </w:p>
        </w:tc>
        <w:tc>
          <w:tcPr>
            <w:tcW w:type="dxa" w:w="2880"/>
          </w:tcPr>
          <w:p>
            <w:pPr>
              <w:spacing w:after="40"/>
            </w:pPr>
            <w:r>
              <w:rPr>
                <w:sz w:val="18"/>
              </w:rPr>
              <w:t>PENDING</w:t>
            </w:r>
          </w:p>
        </w:tc>
        <w:tc>
          <w:tcPr>
            <w:tcW w:type="dxa" w:w="2880"/>
          </w:tcPr>
          <w:p>
            <w:pPr>
              <w:spacing w:after="40"/>
            </w:pPr>
            <w:r>
              <w:rPr>
                <w:sz w:val="18"/>
              </w:rPr>
              <w:t>cross-phase audit predates the latest source change; re-run it</w:t>
            </w:r>
          </w:p>
        </w:tc>
      </w:tr>
      <w:tr>
        <w:tc>
          <w:tcPr>
            <w:tcW w:type="dxa" w:w="2880"/>
          </w:tcPr>
          <w:p>
            <w:pPr>
              <w:spacing w:after="40"/>
            </w:pPr>
            <w:r>
              <w:rPr>
                <w:sz w:val="18"/>
              </w:rPr>
              <w:t>above noise floor</w:t>
            </w:r>
          </w:p>
        </w:tc>
        <w:tc>
          <w:tcPr>
            <w:tcW w:type="dxa" w:w="2880"/>
          </w:tcPr>
          <w:p>
            <w:pPr>
              <w:spacing w:after="40"/>
            </w:pPr>
            <w:r>
              <w:rPr>
                <w:sz w:val="18"/>
              </w:rPr>
              <w:t>PASS</w:t>
            </w:r>
          </w:p>
        </w:tc>
        <w:tc>
          <w:tcPr>
            <w:tcW w:type="dxa" w:w="2880"/>
          </w:tcPr>
          <w:p>
            <w:pPr>
              <w:spacing w:after="40"/>
            </w:pPr>
            <w:r>
              <w:rPr>
                <w:sz w:val="18"/>
              </w:rPr>
              <w:t>provenance reaches memory poisoning (HO4, B13 vs B14 recall): +29.9 vs floor 4.4 (n=157); powered composition (HO6, P2 -&gt; P4 harm): +3.8 vs floor 2.4 (n=500); framing helps a stronger agent (Gemini): +32.5 vs floor 5.0 (n=120)</w:t>
            </w:r>
          </w:p>
        </w:tc>
      </w:tr>
      <w:tr>
        <w:tc>
          <w:tcPr>
            <w:tcW w:type="dxa" w:w="2880"/>
          </w:tcPr>
          <w:p>
            <w:pPr>
              <w:spacing w:after="40"/>
            </w:pPr>
            <w:r>
              <w:rPr>
                <w:sz w:val="18"/>
              </w:rPr>
              <w:t>all measurements complete</w:t>
            </w:r>
          </w:p>
        </w:tc>
        <w:tc>
          <w:tcPr>
            <w:tcW w:type="dxa" w:w="2880"/>
          </w:tcPr>
          <w:p>
            <w:pPr>
              <w:spacing w:after="40"/>
            </w:pPr>
            <w:r>
              <w:rPr>
                <w:sz w:val="18"/>
              </w:rPr>
              <w:t>PENDING</w:t>
            </w:r>
          </w:p>
        </w:tc>
        <w:tc>
          <w:tcPr>
            <w:tcW w:type="dxa" w:w="2880"/>
          </w:tcPr>
          <w:p>
            <w:pPr>
              <w:spacing w:after="40"/>
            </w:pPr>
            <w:r>
              <w:rPr>
                <w:sz w:val="18"/>
              </w:rPr>
              <w:t>partial: ['harm_rejudged.json']</w:t>
            </w:r>
          </w:p>
        </w:tc>
      </w:tr>
      <w:tr>
        <w:tc>
          <w:tcPr>
            <w:tcW w:type="dxa" w:w="2880"/>
          </w:tcPr>
          <w:p>
            <w:pPr>
              <w:spacing w:after="40"/>
            </w:pPr>
            <w:r>
              <w:rPr>
                <w:sz w:val="18"/>
              </w:rPr>
              <w:t>disqualifier clear: unlabelled repeated holdout</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untested family reported untested</w:t>
            </w:r>
          </w:p>
        </w:tc>
        <w:tc>
          <w:tcPr>
            <w:tcW w:type="dxa" w:w="2880"/>
          </w:tcPr>
          <w:p>
            <w:pPr>
              <w:spacing w:after="40"/>
            </w:pPr>
            <w:r>
              <w:rPr>
                <w:sz w:val="18"/>
              </w:rPr>
              <w:t>CLEAR</w:t>
            </w:r>
          </w:p>
        </w:tc>
        <w:tc>
          <w:tcPr>
            <w:tcW w:type="dxa" w:w="2880"/>
          </w:tcPr>
          <w:p>
            <w:pPr>
              <w:spacing w:after="40"/>
            </w:pPr>
            <w:r>
              <w:rPr>
                <w:sz w:val="18"/>
              </w:rPr>
            </w:r>
          </w:p>
        </w:tc>
      </w:tr>
      <w:tr>
        <w:tc>
          <w:tcPr>
            <w:tcW w:type="dxa" w:w="2880"/>
          </w:tcPr>
          <w:p>
            <w:pPr>
              <w:spacing w:after="40"/>
            </w:pPr>
            <w:r>
              <w:rPr>
                <w:sz w:val="18"/>
              </w:rPr>
              <w:t>disqualifier clear: every guard mutation proven</w:t>
            </w:r>
          </w:p>
        </w:tc>
        <w:tc>
          <w:tcPr>
            <w:tcW w:type="dxa" w:w="2880"/>
          </w:tcPr>
          <w:p>
            <w:pPr>
              <w:spacing w:after="40"/>
            </w:pPr>
            <w:r>
              <w:rPr>
                <w:sz w:val="18"/>
              </w:rPr>
              <w:t>CLEAR</w:t>
            </w:r>
          </w:p>
        </w:tc>
        <w:tc>
          <w:tcPr>
            <w:tcW w:type="dxa" w:w="2880"/>
          </w:tcPr>
          <w:p>
            <w:pPr>
              <w:spacing w:after="40"/>
            </w:pPr>
            <w:r>
              <w:rPr>
                <w:sz w:val="18"/>
              </w:rPr>
              <w:t>35/35 proven</w:t>
            </w:r>
          </w:p>
        </w:tc>
      </w:tr>
    </w:tbl>
    <w:p>
      <w:pPr>
        <w:spacing w:after="200"/>
      </w:pPr>
      <w:r>
        <w:rPr>
          <w:i/>
          <w:sz w:val="18"/>
        </w:rPr>
        <w:t>Table 20. Verdict: PENDING. Source: phase17/data/publishability.json.</w:t>
      </w:r>
    </w:p>
    <w:p>
      <w:pPr>
        <w:spacing w:after="120"/>
      </w:pPr>
      <w:r>
        <w:t>Disclosed as PARTIAL, each labelled where it is reported: harm_rejudged.json.</w:t>
      </w:r>
    </w:p>
    <w:p>
      <w:pPr>
        <w:spacing w:after="120"/>
      </w:pPr>
      <w:r>
        <w:t>VERDICT: PENDING. No verdict is stated until every scheduled measurement is complete; the criteria above show what is outstanding.</w:t>
      </w:r>
    </w:p>
    <w:p>
      <w:pPr>
        <w:spacing w:after="120"/>
      </w:pPr>
      <w:r>
        <w:t>Whatever the verdict, what publishable does not mean: the harm LEVELS rest on an LLM judge that a single annotator found to miss harm (Section 13A), the human check has one annotator, and conditional backdoors remain untested on a clean hold-out. Those limits are stated where the numbers appear; the standard requires them to be visible, not absent.</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phase17/publishability.py: floor</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publishability.json</w:t>
            </w:r>
          </w:p>
        </w:tc>
        <w:tc>
          <w:tcPr>
            <w:tcW w:type="dxa" w:w="2880"/>
          </w:tcPr>
          <w:p>
            <w:pPr>
              <w:spacing w:after="40"/>
            </w:pPr>
            <w:r>
              <w:rPr>
                <w:sz w:val="18"/>
              </w:rPr>
              <w:t>The computed publishability verdict</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