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2026-10-14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(an instance-level rate that later work showed to depend on the probe and the judge: 435-944 of 2,628 working depending on how disputed labels resolve; the memory's net causal effect, by contrast, is positive under every probe and judge -- Sections 16-17).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cannot, by construction, reach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this project's configurations lead by 32.1 (B13) to 37.2 (B17) points over the strongest published baseline (deberta pi v2@dev, 14.1%)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five new corpora -- three memory-poisoning, two injection -- each scored once under predictions committed in advance (45/53 held across every round-7 prediction including hold-out 8's; one more, U-2, was pre-registered but never scored).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First Three Frozen Hold-Outs (Hold-Outs 4-8: Section 13)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As of round 6 no configuration had more than one clean estimate; round 7 added five single-use hold-outs (Section 13), giving B12-B18 three clean memory-poisoning estimates (hold-outs 4, 7, 8) and two clean injection estimates (hold-outs 5, 6).</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13E). Hold-out 5 has 131 attacks, so its rates carry about +/-8 points. The stronger-agent comparison rests on 120 development items. (iv) The first three hold-outs are prompt-injection or jailbreak corpora; hold-outs 4, 7 and 8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(Later sections qualify it: which instances count as working depends on the probe and the judge, while the memory's net effect and the defence ranking do not -- Sections 16-17.)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annotator -- a friend of the author, labelling on the author's laptop -- then labelled the same 100 items, instructed not to look at the first annotator's labels or the judges' answers (compliance with that instruction is not verifiable from the records, and the annotator is not independent of the author).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annotators (the author; the author's friend, blind to the judges by written instruction),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were untested on a clean hold-out at that point; hold-out 8 later tested them (Section 13E), and their ACTIVATION was first measured with a real trigger in the remediation experiment SA-1 (Section 15).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13E).</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CORRECTION (remediation 2026-10-12, register G3-4): that union, as pre-registered, fitted the anomaly signal's clusters on half of hold-out 8's benign notes and set its threshold at a percentile of the OTHER half, then reported FPR on that same half, so its benign FPR (8/85) is fixed by construction rather than measured. Re-scored without that leak (Section 15): with the threshold fitted on one benign half and FPR measured on the other, the union reaches 153/160 at 11/85 benign; with the development-fitted model the shipped signal uses, the anomaly flags 137/171 of hold-out 8's benign notes. The union generalises only with per-owner benign calibration.</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9/85 benign -- a result whose threshold was set on hold-out 8's own benign notes (see the correction above): it shows in-corpus separability, not a deployable detector; the shipped dev-fitted signal flags most of hold-out 8's benign notes (Section 15).</w:t>
      </w:r>
    </w:p>
    <w:p>
      <w:pPr>
        <w:spacing w:after="120"/>
      </w:pPr>
      <w:r>
        <w:t>The instruction-aware frame generalises (F8-1): on the 81 rule-stating attacks, harm is 65 raw, 51 under the current frame and 44 under v6. Every hold-out-8 prediction that was scored held, but all seven were directional, U-2 (the router) was never scored on hold-out 8, F8-1's difference is not significant (paired p=0.17), and U-1/S8-2 rest on the transductive threshold above.</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annotators (the author and the author's friend)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15. Remediation After the Independent Review (2026-10-12)</w:t>
      </w:r>
    </w:p>
    <w:p>
      <w:pPr>
        <w:spacing w:after="120"/>
      </w:pPr>
      <w:r>
        <w:t>An independent pre-submission review (docs/review/INDEPENDENT_IEEE_REVIEW_2026-10-12.md) found under-disclosed assumptions, a hold-out-calibrated threshold, and internal inconsistencies. Every item has a status in REMEDIATION_MASTER_REGISTER.md. This section reports the analyses and the two pre-registered experiments it triggered (docs/phase17/PREREGISTRATION_REMEDIATION_2026-10-12.md, committed before either ran). Nothing earlier in this document was silently changed: corrected statements are marked where they appear.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w:t>
            </w:r>
          </w:p>
        </w:tc>
        <w:tc>
          <w:tcPr>
            <w:tcW w:type="dxa" w:w="1440"/>
          </w:tcPr>
          <w:p>
            <w:pPr>
              <w:spacing w:after="40"/>
            </w:pPr>
            <w:r>
              <w:rPr>
                <w:b/>
                <w:sz w:val="18"/>
              </w:rPr>
              <w:t>B12 (stored)</w:t>
            </w:r>
          </w:p>
        </w:tc>
        <w:tc>
          <w:tcPr>
            <w:tcW w:type="dxa" w:w="1440"/>
          </w:tcPr>
          <w:p>
            <w:pPr>
              <w:spacing w:after="40"/>
            </w:pPr>
            <w:r>
              <w:rPr>
                <w:b/>
                <w:sz w:val="18"/>
              </w:rPr>
              <w:t>B13 minus corroboration</w:t>
            </w:r>
          </w:p>
        </w:tc>
        <w:tc>
          <w:tcPr>
            <w:tcW w:type="dxa" w:w="1440"/>
          </w:tcPr>
          <w:p>
            <w:pPr>
              <w:spacing w:after="40"/>
            </w:pPr>
            <w:r>
              <w:rPr>
                <w:b/>
                <w:sz w:val="18"/>
              </w:rPr>
              <w:t>Corroboration alone</w:t>
            </w:r>
          </w:p>
        </w:tc>
        <w:tc>
          <w:tcPr>
            <w:tcW w:type="dxa" w:w="1440"/>
          </w:tcPr>
          <w:p>
            <w:pPr>
              <w:spacing w:after="40"/>
            </w:pPr>
            <w:r>
              <w:rPr>
                <w:b/>
                <w:sz w:val="18"/>
              </w:rPr>
              <w:t>B13</w:t>
            </w:r>
          </w:p>
        </w:tc>
        <w:tc>
          <w:tcPr>
            <w:tcW w:type="dxa" w:w="1440"/>
          </w:tcPr>
          <w:p>
            <w:pPr>
              <w:spacing w:after="40"/>
            </w:pPr>
            <w:r>
              <w:rPr>
                <w:b/>
                <w:sz w:val="18"/>
              </w:rPr>
              <w:t>Attacks on user channel</w:t>
            </w:r>
          </w:p>
        </w:tc>
      </w:tr>
      <w:tr>
        <w:tc>
          <w:tcPr>
            <w:tcW w:type="dxa" w:w="1440"/>
          </w:tcPr>
          <w:p>
            <w:pPr>
              <w:spacing w:after="40"/>
            </w:pPr>
            <w:r>
              <w:rPr>
                <w:sz w:val="18"/>
              </w:rPr>
              <w:t>holdout4</w:t>
            </w:r>
          </w:p>
        </w:tc>
        <w:tc>
          <w:tcPr>
            <w:tcW w:type="dxa" w:w="1440"/>
          </w:tcPr>
          <w:p>
            <w:pPr>
              <w:spacing w:after="40"/>
            </w:pPr>
            <w:r>
              <w:rPr>
                <w:sz w:val="18"/>
              </w:rPr>
              <w:t>3/157 | FP 4/262</w:t>
            </w:r>
          </w:p>
        </w:tc>
        <w:tc>
          <w:tcPr>
            <w:tcW w:type="dxa" w:w="1440"/>
          </w:tcPr>
          <w:p>
            <w:pPr>
              <w:spacing w:after="40"/>
            </w:pPr>
            <w:r>
              <w:rPr>
                <w:sz w:val="18"/>
              </w:rPr>
              <w:t>3/157 | FP 4/262</w:t>
            </w:r>
          </w:p>
        </w:tc>
        <w:tc>
          <w:tcPr>
            <w:tcW w:type="dxa" w:w="1440"/>
          </w:tcPr>
          <w:p>
            <w:pPr>
              <w:spacing w:after="40"/>
            </w:pPr>
            <w:r>
              <w:rPr>
                <w:sz w:val="18"/>
              </w:rPr>
              <w:t>76/157 | FP 28/262</w:t>
            </w:r>
          </w:p>
        </w:tc>
        <w:tc>
          <w:tcPr>
            <w:tcW w:type="dxa" w:w="1440"/>
          </w:tcPr>
          <w:p>
            <w:pPr>
              <w:spacing w:after="40"/>
            </w:pPr>
            <w:r>
              <w:rPr>
                <w:sz w:val="18"/>
              </w:rPr>
              <w:t>79/157 | FP 31/262</w:t>
            </w:r>
          </w:p>
        </w:tc>
        <w:tc>
          <w:tcPr>
            <w:tcW w:type="dxa" w:w="1440"/>
          </w:tcPr>
          <w:p>
            <w:pPr>
              <w:spacing w:after="40"/>
            </w:pPr>
            <w:r>
              <w:rPr>
                <w:sz w:val="18"/>
              </w:rPr>
              <w:t>0 excluded; 3 flagged</w:t>
            </w:r>
          </w:p>
        </w:tc>
      </w:tr>
      <w:tr>
        <w:tc>
          <w:tcPr>
            <w:tcW w:type="dxa" w:w="1440"/>
          </w:tcPr>
          <w:p>
            <w:pPr>
              <w:spacing w:after="40"/>
            </w:pPr>
            <w:r>
              <w:rPr>
                <w:sz w:val="18"/>
              </w:rPr>
              <w:t>holdout8</w:t>
            </w:r>
          </w:p>
        </w:tc>
        <w:tc>
          <w:tcPr>
            <w:tcW w:type="dxa" w:w="1440"/>
          </w:tcPr>
          <w:p>
            <w:pPr>
              <w:spacing w:after="40"/>
            </w:pPr>
            <w:r>
              <w:rPr>
                <w:sz w:val="18"/>
              </w:rPr>
              <w:t>59/160 | FP 7/171</w:t>
            </w:r>
          </w:p>
        </w:tc>
        <w:tc>
          <w:tcPr>
            <w:tcW w:type="dxa" w:w="1440"/>
          </w:tcPr>
          <w:p>
            <w:pPr>
              <w:spacing w:after="40"/>
            </w:pPr>
            <w:r>
              <w:rPr>
                <w:sz w:val="18"/>
              </w:rPr>
              <w:t>59/160 | FP 7/171</w:t>
            </w:r>
          </w:p>
        </w:tc>
        <w:tc>
          <w:tcPr>
            <w:tcW w:type="dxa" w:w="1440"/>
          </w:tcPr>
          <w:p>
            <w:pPr>
              <w:spacing w:after="40"/>
            </w:pPr>
            <w:r>
              <w:rPr>
                <w:sz w:val="18"/>
              </w:rPr>
              <w:t>81/160 | FP 8/171</w:t>
            </w:r>
          </w:p>
        </w:tc>
        <w:tc>
          <w:tcPr>
            <w:tcW w:type="dxa" w:w="1440"/>
          </w:tcPr>
          <w:p>
            <w:pPr>
              <w:spacing w:after="40"/>
            </w:pPr>
            <w:r>
              <w:rPr>
                <w:sz w:val="18"/>
              </w:rPr>
              <w:t>118/160 | FP 15/171</w:t>
            </w:r>
          </w:p>
        </w:tc>
        <w:tc>
          <w:tcPr>
            <w:tcW w:type="dxa" w:w="1440"/>
          </w:tcPr>
          <w:p>
            <w:pPr>
              <w:spacing w:after="40"/>
            </w:pPr>
            <w:r>
              <w:rPr>
                <w:sz w:val="18"/>
              </w:rPr>
              <w:t>0 excluded; 59 flagged</w:t>
            </w:r>
          </w:p>
        </w:tc>
      </w:tr>
      <w:tr>
        <w:tc>
          <w:tcPr>
            <w:tcW w:type="dxa" w:w="1440"/>
          </w:tcPr>
          <w:p>
            <w:pPr>
              <w:spacing w:after="40"/>
            </w:pPr>
            <w:r>
              <w:rPr>
                <w:sz w:val="18"/>
              </w:rPr>
              <w:t>holdout7</w:t>
            </w:r>
          </w:p>
        </w:tc>
        <w:tc>
          <w:tcPr>
            <w:tcW w:type="dxa" w:w="1440"/>
          </w:tcPr>
          <w:p>
            <w:pPr>
              <w:spacing w:after="40"/>
            </w:pPr>
            <w:r>
              <w:rPr>
                <w:sz w:val="18"/>
              </w:rPr>
              <w:t>48/129 | FP 8/189</w:t>
            </w:r>
          </w:p>
        </w:tc>
        <w:tc>
          <w:tcPr>
            <w:tcW w:type="dxa" w:w="1440"/>
          </w:tcPr>
          <w:p>
            <w:pPr>
              <w:spacing w:after="40"/>
            </w:pPr>
            <w:r>
              <w:rPr>
                <w:sz w:val="18"/>
              </w:rPr>
              <w:t>48/129 | FP 8/189</w:t>
            </w:r>
          </w:p>
        </w:tc>
        <w:tc>
          <w:tcPr>
            <w:tcW w:type="dxa" w:w="1440"/>
          </w:tcPr>
          <w:p>
            <w:pPr>
              <w:spacing w:after="40"/>
            </w:pPr>
            <w:r>
              <w:rPr>
                <w:sz w:val="18"/>
              </w:rPr>
              <w:t>23/129 | FP 23/189</w:t>
            </w:r>
          </w:p>
        </w:tc>
        <w:tc>
          <w:tcPr>
            <w:tcW w:type="dxa" w:w="1440"/>
          </w:tcPr>
          <w:p>
            <w:pPr>
              <w:spacing w:after="40"/>
            </w:pPr>
            <w:r>
              <w:rPr>
                <w:sz w:val="18"/>
              </w:rPr>
              <w:t>70/129 | FP 29/189</w:t>
            </w:r>
          </w:p>
        </w:tc>
        <w:tc>
          <w:tcPr>
            <w:tcW w:type="dxa" w:w="1440"/>
          </w:tcPr>
          <w:p>
            <w:pPr>
              <w:spacing w:after="40"/>
            </w:pPr>
            <w:r>
              <w:rPr>
                <w:sz w:val="18"/>
              </w:rPr>
              <w:t>0 excluded; 48 flagged</w:t>
            </w:r>
          </w:p>
        </w:tc>
      </w:tr>
    </w:tbl>
    <w:p>
      <w:pPr>
        <w:spacing w:after="200"/>
      </w:pPr>
      <w:r>
        <w:rPr>
          <w:i/>
          <w:sz w:val="18"/>
        </w:rPr>
        <w:t>Table 23. What B13's hold-out result depends on (post-hoc decomposition of the stored per-item decisions, reproduced item for item). Source: remediation/b13_decomposition.json.</w:t>
      </w:r>
    </w:p>
    <w:p>
      <w:pPr>
        <w:spacing w:after="120"/>
      </w:pPr>
      <w:r>
        <w:t>On every memory-poisoning hold-out, B13 without corroboration excludes exactly what content-only B12 excludes: the channel label adds no recall of its own. All of B13's gain comes from corroborating personal claims against the owner's conversation, at the benign cost shown. The channel label's role is to exempt the user's own words -- so a poison that reaches the store through the user channel (MINJA's query-only threat model, or any mislabelled source) is never excluded, by construction. Every attack in every evaluation here was assigned the untrusted tool-output channel by the evaluator; B13's results hold under that assumption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Threshold / clusters fitted on</w:t>
            </w:r>
          </w:p>
        </w:tc>
        <w:tc>
          <w:tcPr>
            <w:tcW w:type="dxa" w:w="1728"/>
          </w:tcPr>
          <w:p>
            <w:pPr>
              <w:spacing w:after="40"/>
            </w:pPr>
            <w:r>
              <w:rPr>
                <w:b/>
                <w:sz w:val="18"/>
              </w:rPr>
              <w:t>Anomaly recall</w:t>
            </w:r>
          </w:p>
        </w:tc>
        <w:tc>
          <w:tcPr>
            <w:tcW w:type="dxa" w:w="1728"/>
          </w:tcPr>
          <w:p>
            <w:pPr>
              <w:spacing w:after="40"/>
            </w:pPr>
            <w:r>
              <w:rPr>
                <w:b/>
                <w:sz w:val="18"/>
              </w:rPr>
              <w:t>Anomaly benign FP</w:t>
            </w:r>
          </w:p>
        </w:tc>
        <w:tc>
          <w:tcPr>
            <w:tcW w:type="dxa" w:w="1728"/>
          </w:tcPr>
          <w:p>
            <w:pPr>
              <w:spacing w:after="40"/>
            </w:pPr>
            <w:r>
              <w:rPr>
                <w:b/>
                <w:sz w:val="18"/>
              </w:rPr>
              <w:t>Union (B13 OR anomaly)</w:t>
            </w:r>
          </w:p>
        </w:tc>
        <w:tc>
          <w:tcPr>
            <w:tcW w:type="dxa" w:w="1728"/>
          </w:tcPr>
          <w:p>
            <w:pPr>
              <w:spacing w:after="40"/>
            </w:pPr>
            <w:r>
              <w:rPr>
                <w:b/>
                <w:sz w:val="18"/>
              </w:rPr>
              <w:t>Union benign FP</w:t>
            </w:r>
          </w:p>
        </w:tc>
      </w:tr>
      <w:tr>
        <w:tc>
          <w:tcPr>
            <w:tcW w:type="dxa" w:w="1728"/>
          </w:tcPr>
          <w:p>
            <w:pPr>
              <w:spacing w:after="40"/>
            </w:pPr>
            <w:r>
              <w:rPr>
                <w:sz w:val="18"/>
              </w:rPr>
              <w:t>HO8 benign, FPR read on the same half (as published) (p90)</w:t>
            </w:r>
          </w:p>
        </w:tc>
        <w:tc>
          <w:tcPr>
            <w:tcW w:type="dxa" w:w="1728"/>
          </w:tcPr>
          <w:p>
            <w:pPr>
              <w:spacing w:after="40"/>
            </w:pPr>
            <w:r>
              <w:rPr>
                <w:sz w:val="18"/>
              </w:rPr>
              <w:t>145/160</w:t>
            </w:r>
          </w:p>
        </w:tc>
        <w:tc>
          <w:tcPr>
            <w:tcW w:type="dxa" w:w="1728"/>
          </w:tcPr>
          <w:p>
            <w:pPr>
              <w:spacing w:after="40"/>
            </w:pPr>
            <w:r>
              <w:rPr>
                <w:sz w:val="18"/>
              </w:rPr>
              <w:t>9/85</w:t>
            </w:r>
          </w:p>
        </w:tc>
        <w:tc>
          <w:tcPr>
            <w:tcW w:type="dxa" w:w="1728"/>
          </w:tcPr>
          <w:p>
            <w:pPr>
              <w:spacing w:after="40"/>
            </w:pPr>
            <w:r>
              <w:rPr>
                <w:sz w:val="18"/>
              </w:rPr>
              <w:t>154/160</w:t>
            </w:r>
          </w:p>
        </w:tc>
        <w:tc>
          <w:tcPr>
            <w:tcW w:type="dxa" w:w="1728"/>
          </w:tcPr>
          <w:p>
            <w:pPr>
              <w:spacing w:after="40"/>
            </w:pPr>
            <w:r>
              <w:rPr>
                <w:sz w:val="18"/>
              </w:rPr>
              <w:t>16/85</w:t>
            </w:r>
          </w:p>
        </w:tc>
      </w:tr>
      <w:tr>
        <w:tc>
          <w:tcPr>
            <w:tcW w:type="dxa" w:w="1728"/>
          </w:tcPr>
          <w:p>
            <w:pPr>
              <w:spacing w:after="40"/>
            </w:pPr>
            <w:r>
              <w:rPr>
                <w:sz w:val="18"/>
              </w:rPr>
              <w:t>HO8 benign, FPR read on the same half (as published) (p99)</w:t>
            </w:r>
          </w:p>
        </w:tc>
        <w:tc>
          <w:tcPr>
            <w:tcW w:type="dxa" w:w="1728"/>
          </w:tcPr>
          <w:p>
            <w:pPr>
              <w:spacing w:after="40"/>
            </w:pPr>
            <w:r>
              <w:rPr>
                <w:sz w:val="18"/>
              </w:rPr>
              <w:t>59/160</w:t>
            </w:r>
          </w:p>
        </w:tc>
        <w:tc>
          <w:tcPr>
            <w:tcW w:type="dxa" w:w="1728"/>
          </w:tcPr>
          <w:p>
            <w:pPr>
              <w:spacing w:after="40"/>
            </w:pPr>
            <w:r>
              <w:rPr>
                <w:sz w:val="18"/>
              </w:rPr>
              <w:t>1/85</w:t>
            </w:r>
          </w:p>
        </w:tc>
        <w:tc>
          <w:tcPr>
            <w:tcW w:type="dxa" w:w="1728"/>
          </w:tcPr>
          <w:p>
            <w:pPr>
              <w:spacing w:after="40"/>
            </w:pPr>
            <w:r>
              <w:rPr>
                <w:sz w:val="18"/>
              </w:rPr>
              <w:t>141/160</w:t>
            </w:r>
          </w:p>
        </w:tc>
        <w:tc>
          <w:tcPr>
            <w:tcW w:type="dxa" w:w="1728"/>
          </w:tcPr>
          <w:p>
            <w:pPr>
              <w:spacing w:after="40"/>
            </w:pPr>
            <w:r>
              <w:rPr>
                <w:sz w:val="18"/>
              </w:rPr>
              <w:t>8/85</w:t>
            </w:r>
          </w:p>
        </w:tc>
      </w:tr>
      <w:tr>
        <w:tc>
          <w:tcPr>
            <w:tcW w:type="dxa" w:w="1728"/>
          </w:tcPr>
          <w:p>
            <w:pPr>
              <w:spacing w:after="40"/>
            </w:pPr>
            <w:r>
              <w:rPr>
                <w:sz w:val="18"/>
              </w:rPr>
              <w:t>HO8 benign half A; FPR on unseen half B (p90)</w:t>
            </w:r>
          </w:p>
        </w:tc>
        <w:tc>
          <w:tcPr>
            <w:tcW w:type="dxa" w:w="1728"/>
          </w:tcPr>
          <w:p>
            <w:pPr>
              <w:spacing w:after="40"/>
            </w:pPr>
            <w:r>
              <w:rPr>
                <w:sz w:val="18"/>
              </w:rPr>
              <w:t>154/160</w:t>
            </w:r>
          </w:p>
        </w:tc>
        <w:tc>
          <w:tcPr>
            <w:tcW w:type="dxa" w:w="1728"/>
          </w:tcPr>
          <w:p>
            <w:pPr>
              <w:spacing w:after="40"/>
            </w:pPr>
            <w:r>
              <w:rPr>
                <w:sz w:val="18"/>
              </w:rPr>
              <w:t>12/85</w:t>
            </w:r>
          </w:p>
        </w:tc>
        <w:tc>
          <w:tcPr>
            <w:tcW w:type="dxa" w:w="1728"/>
          </w:tcPr>
          <w:p>
            <w:pPr>
              <w:spacing w:after="40"/>
            </w:pPr>
            <w:r>
              <w:rPr>
                <w:sz w:val="18"/>
              </w:rPr>
              <w:t>158/160</w:t>
            </w:r>
          </w:p>
        </w:tc>
        <w:tc>
          <w:tcPr>
            <w:tcW w:type="dxa" w:w="1728"/>
          </w:tcPr>
          <w:p>
            <w:pPr>
              <w:spacing w:after="40"/>
            </w:pPr>
            <w:r>
              <w:rPr>
                <w:sz w:val="18"/>
              </w:rPr>
              <w:t>17/85</w:t>
            </w:r>
          </w:p>
        </w:tc>
      </w:tr>
      <w:tr>
        <w:tc>
          <w:tcPr>
            <w:tcW w:type="dxa" w:w="1728"/>
          </w:tcPr>
          <w:p>
            <w:pPr>
              <w:spacing w:after="40"/>
            </w:pPr>
            <w:r>
              <w:rPr>
                <w:sz w:val="18"/>
              </w:rPr>
              <w:t>HO8 benign half A; FPR on unseen half B (p99)</w:t>
            </w:r>
          </w:p>
        </w:tc>
        <w:tc>
          <w:tcPr>
            <w:tcW w:type="dxa" w:w="1728"/>
          </w:tcPr>
          <w:p>
            <w:pPr>
              <w:spacing w:after="40"/>
            </w:pPr>
            <w:r>
              <w:rPr>
                <w:sz w:val="18"/>
              </w:rPr>
              <w:t>131/160</w:t>
            </w:r>
          </w:p>
        </w:tc>
        <w:tc>
          <w:tcPr>
            <w:tcW w:type="dxa" w:w="1728"/>
          </w:tcPr>
          <w:p>
            <w:pPr>
              <w:spacing w:after="40"/>
            </w:pPr>
            <w:r>
              <w:rPr>
                <w:sz w:val="18"/>
              </w:rPr>
              <w:t>4/85</w:t>
            </w:r>
          </w:p>
        </w:tc>
        <w:tc>
          <w:tcPr>
            <w:tcW w:type="dxa" w:w="1728"/>
          </w:tcPr>
          <w:p>
            <w:pPr>
              <w:spacing w:after="40"/>
            </w:pPr>
            <w:r>
              <w:rPr>
                <w:sz w:val="18"/>
              </w:rPr>
              <w:t>153/160</w:t>
            </w:r>
          </w:p>
        </w:tc>
        <w:tc>
          <w:tcPr>
            <w:tcW w:type="dxa" w:w="1728"/>
          </w:tcPr>
          <w:p>
            <w:pPr>
              <w:spacing w:after="40"/>
            </w:pPr>
            <w:r>
              <w:rPr>
                <w:sz w:val="18"/>
              </w:rPr>
              <w:t>11/85</w:t>
            </w:r>
          </w:p>
        </w:tc>
      </w:tr>
      <w:tr>
        <w:tc>
          <w:tcPr>
            <w:tcW w:type="dxa" w:w="1728"/>
          </w:tcPr>
          <w:p>
            <w:pPr>
              <w:spacing w:after="40"/>
            </w:pPr>
            <w:r>
              <w:rPr>
                <w:sz w:val="18"/>
              </w:rPr>
              <w:t>development benign only (p90)</w:t>
            </w:r>
          </w:p>
        </w:tc>
        <w:tc>
          <w:tcPr>
            <w:tcW w:type="dxa" w:w="1728"/>
          </w:tcPr>
          <w:p>
            <w:pPr>
              <w:spacing w:after="40"/>
            </w:pPr>
            <w:r>
              <w:rPr>
                <w:sz w:val="18"/>
              </w:rPr>
              <w:t>158/160</w:t>
            </w:r>
          </w:p>
        </w:tc>
        <w:tc>
          <w:tcPr>
            <w:tcW w:type="dxa" w:w="1728"/>
          </w:tcPr>
          <w:p>
            <w:pPr>
              <w:spacing w:after="40"/>
            </w:pPr>
            <w:r>
              <w:rPr>
                <w:sz w:val="18"/>
              </w:rPr>
              <w:t>142/171</w:t>
            </w:r>
          </w:p>
        </w:tc>
        <w:tc>
          <w:tcPr>
            <w:tcW w:type="dxa" w:w="1728"/>
          </w:tcPr>
          <w:p>
            <w:pPr>
              <w:spacing w:after="40"/>
            </w:pPr>
            <w:r>
              <w:rPr>
                <w:sz w:val="18"/>
              </w:rPr>
              <w:t>160/160</w:t>
            </w:r>
          </w:p>
        </w:tc>
        <w:tc>
          <w:tcPr>
            <w:tcW w:type="dxa" w:w="1728"/>
          </w:tcPr>
          <w:p>
            <w:pPr>
              <w:spacing w:after="40"/>
            </w:pPr>
            <w:r>
              <w:rPr>
                <w:sz w:val="18"/>
              </w:rPr>
              <w:t>145/171</w:t>
            </w:r>
          </w:p>
        </w:tc>
      </w:tr>
      <w:tr>
        <w:tc>
          <w:tcPr>
            <w:tcW w:type="dxa" w:w="1728"/>
          </w:tcPr>
          <w:p>
            <w:pPr>
              <w:spacing w:after="40"/>
            </w:pPr>
            <w:r>
              <w:rPr>
                <w:sz w:val="18"/>
              </w:rPr>
              <w:t>development benign only (p99)</w:t>
            </w:r>
          </w:p>
        </w:tc>
        <w:tc>
          <w:tcPr>
            <w:tcW w:type="dxa" w:w="1728"/>
          </w:tcPr>
          <w:p>
            <w:pPr>
              <w:spacing w:after="40"/>
            </w:pPr>
            <w:r>
              <w:rPr>
                <w:sz w:val="18"/>
              </w:rPr>
              <w:t>138/160</w:t>
            </w:r>
          </w:p>
        </w:tc>
        <w:tc>
          <w:tcPr>
            <w:tcW w:type="dxa" w:w="1728"/>
          </w:tcPr>
          <w:p>
            <w:pPr>
              <w:spacing w:after="40"/>
            </w:pPr>
            <w:r>
              <w:rPr>
                <w:sz w:val="18"/>
              </w:rPr>
              <w:t>99/171</w:t>
            </w:r>
          </w:p>
        </w:tc>
        <w:tc>
          <w:tcPr>
            <w:tcW w:type="dxa" w:w="1728"/>
          </w:tcPr>
          <w:p>
            <w:pPr>
              <w:spacing w:after="40"/>
            </w:pPr>
            <w:r>
              <w:rPr>
                <w:sz w:val="18"/>
              </w:rPr>
              <w:t>160/160</w:t>
            </w:r>
          </w:p>
        </w:tc>
        <w:tc>
          <w:tcPr>
            <w:tcW w:type="dxa" w:w="1728"/>
          </w:tcPr>
          <w:p>
            <w:pPr>
              <w:spacing w:after="40"/>
            </w:pPr>
            <w:r>
              <w:rPr>
                <w:sz w:val="18"/>
              </w:rPr>
              <w:t>104/171</w:t>
            </w:r>
          </w:p>
        </w:tc>
      </w:tr>
      <w:tr>
        <w:tc>
          <w:tcPr>
            <w:tcW w:type="dxa" w:w="1728"/>
          </w:tcPr>
          <w:p>
            <w:pPr>
              <w:spacing w:after="40"/>
            </w:pPr>
            <w:r>
              <w:rPr>
                <w:sz w:val="18"/>
              </w:rPr>
              <w:t>committed dev-fitted centroids (shipped signal) (p90)</w:t>
            </w:r>
          </w:p>
        </w:tc>
        <w:tc>
          <w:tcPr>
            <w:tcW w:type="dxa" w:w="1728"/>
          </w:tcPr>
          <w:p>
            <w:pPr>
              <w:spacing w:after="40"/>
            </w:pPr>
            <w:r>
              <w:rPr>
                <w:sz w:val="18"/>
              </w:rPr>
              <w:t>159/160</w:t>
            </w:r>
          </w:p>
        </w:tc>
        <w:tc>
          <w:tcPr>
            <w:tcW w:type="dxa" w:w="1728"/>
          </w:tcPr>
          <w:p>
            <w:pPr>
              <w:spacing w:after="40"/>
            </w:pPr>
            <w:r>
              <w:rPr>
                <w:sz w:val="18"/>
              </w:rPr>
              <w:t>137/171</w:t>
            </w:r>
          </w:p>
        </w:tc>
        <w:tc>
          <w:tcPr>
            <w:tcW w:type="dxa" w:w="1728"/>
          </w:tcPr>
          <w:p>
            <w:pPr>
              <w:spacing w:after="40"/>
            </w:pPr>
            <w:r>
              <w:rPr>
                <w:sz w:val="18"/>
              </w:rPr>
              <w:t>160/160</w:t>
            </w:r>
          </w:p>
        </w:tc>
        <w:tc>
          <w:tcPr>
            <w:tcW w:type="dxa" w:w="1728"/>
          </w:tcPr>
          <w:p>
            <w:pPr>
              <w:spacing w:after="40"/>
            </w:pPr>
            <w:r>
              <w:rPr>
                <w:sz w:val="18"/>
              </w:rPr>
              <w:t>140/171</w:t>
            </w:r>
          </w:p>
        </w:tc>
      </w:tr>
    </w:tbl>
    <w:p>
      <w:pPr>
        <w:spacing w:after="200"/>
      </w:pPr>
      <w:r>
        <w:rPr>
          <w:i/>
          <w:sz w:val="18"/>
        </w:rPr>
        <w:t>Table 24. Hold-out 8's anomaly signal and union under thresholds that do and do not see the evaluation data. The first rows reproduce the published numbers exactly. Source: remediation/ho8_anomaly_devfit.json.</w:t>
      </w:r>
    </w:p>
    <w:p>
      <w:pPr>
        <w:spacing w:after="120"/>
      </w:pPr>
      <w:r>
        <w:t>Prediction tallies, reconciled. The three counts in circulation are snapshots of different scopes, all reproducible from git: 17/20 (commit 175263b8, hold-outs 4-5 plus Phase B before B-5 was scored), 34/41 (before addenda 6 and 8) and 39/47 (the current round-7 file). Adding hold-out 8's seven addendum-7 predictions, which no tally had included: 45/53 scored predictions held, with U-2 pre-registered but never scored. By kind: interval 10/11; directional 35/42.</w:t>
      </w:r>
    </w:p>
    <w:p>
      <w:pPr>
        <w:spacing w:after="120"/>
      </w:pPr>
      <w:r>
        <w:t>Judge sensitivity of the validity audit (fitted probe, mechanism-checked). Working rate under the original judge 25.3% vs the human-calibrated majority vote 27.1% (own populations 40.8% vs 44.3%; external 18.5% vs 19.6%). Population rates are therefore judge-robust, but 509 of 2628 instances change working status between the judges, and the fitted probe's task-alone base rate is 25.7% under the original judge and 47.4% under the vote -- above the 20% admissibility rule this project later adopted for hold-out probes, so per-population working rates are lower bounds where the task alone elicits compliance. Working status is a property of the agent, probe and judge, not of an attack in every setting. Source: remediation/validity_judge_sensitivity.json.</w:t>
      </w:r>
    </w:p>
    <w:p>
      <w:pPr>
        <w:spacing w:after="120"/>
      </w:pPr>
      <w:r>
        <w:t>SA-1 (sleeper activation, Gap 3), pre-registered predictions: SA-1 HELD (0/60); SA-2 HELD (+23/-0); SA-3 HELD (60/60 vs 3/60); SA-4 HELD (60 vs 2); SA-5 HELD (+0/-23); SA-6 HELD (0/60); SA-7 HELD (60/60); SA-8 HELD (+0/-18); SA-9 HELD (-6.7 points). Full tables in results/tables (T10, T11).</w:t>
      </w:r>
    </w:p>
    <w:p>
      <w:pPr>
        <w:spacing w:after="120"/>
      </w:pPr>
      <w:r>
        <w:t>P2 (two-generation propagation, Gap 2), pre-registered predictions: P2-1 HELD (98/249); P2-2 HELD (+24/-0); P2-3 HELD (0); P2-4 HELD (22/161); P2-5 FAILED (7/90). Full tables in results/tables (T10, T11).</w:t>
      </w:r>
    </w:p>
    <w:p>
      <w:pPr>
        <w:spacing w:after="120"/>
      </w:pPr>
      <w:r>
        <w:t>Reading SA-1. Conditional backdoors were dormant (activation 0/60 on unrelated messages) and activated through real retrieval on natural triggers (23/60 under the original judge). Content-only B12 excluded 60/60 of them and 2/60 benign conditional lookalikes before activation -- so prevention here rests on the explicit malicious payload these backdoors state, not on any sleeper signal: the dedicated sleeper guard flagged 0/60 and the development-fitted anomaly signal flagged every lookalike. Stealthy, instruction-free sleeper notes remain largely undetected (Table 5A). SA-1's owner, like hold-out 8's, was among B13's calibration conversations (pre-registration addendum A).</w:t>
      </w:r>
    </w:p>
    <w:p>
      <w:pPr>
        <w:spacing w:after="120"/>
      </w:pPr>
      <w:r>
        <w:t>Reading P2. The payload survived a second consolidation in 98/249 instances; the best containment arm withheld 24/71 carrying second-generation summaries (against most at generation 1), only by inheriting the intermediate summary's taint state, and withheld none without it. Development data only.</w:t>
      </w:r>
    </w:p>
    <w:p>
      <w:pPr>
        <w:pStyle w:val="Heading1"/>
      </w:pPr>
      <w:r>
        <w:t>16. Gap Closure (2026-10-13): Real Memory Pipeline, Causal Attribution, Implicit Sleepers</w:t>
      </w:r>
    </w:p>
    <w:p>
      <w:pPr>
        <w:spacing w:after="120"/>
      </w:pPr>
      <w:r>
        <w:t>A second remediation round closed the gaps left after Section 15 (FINAL_GAP_CLOSURE_REPORT.md). Five experiments were pre-registered before running (docs/phase17/PREREGISTRATION_GAPCLOSURE_2026-10-13.md, with addendum B for two API defects found and fixed before any outcome was analysed); three analyses on cached data are labelled as new.</w:t>
      </w:r>
    </w:p>
    <w:p>
      <w:pPr>
        <w:spacing w:after="120"/>
      </w:pPr>
      <w:r>
        <w:t>Causal attribution. The memory's net effect on compliance (with minus without, same task) is +43.2 points on this project's own attacks and +13.3 on external corpora under the original judge (+47.1 / +13.7 under the vote), although the probe alone elicits the behaviour in 25.7% of instances. Defence rankings are identical on five working-attack denominators.</w:t>
      </w:r>
    </w:p>
    <w:p>
      <w:pPr>
        <w:spacing w:after="120"/>
      </w:pPr>
      <w:r>
        <w:t>Blind model adjudication of judge disagreements split 60/60 between the judges (ADJ-1a FAILED): about one instance in five has no reliable working label.</w:t>
      </w:r>
    </w:p>
    <w:p>
      <w:pPr>
        <w:spacing w:after="120"/>
      </w:pPr>
      <w:r>
        <w:t>Probe robustness (PR-1): a non-leading probe lowers the task-alone rate from 38 to 5 of 150 but halves working attacks (73 to 36); instance agreement 54.0%. PR-1a HELD; PR-1b FAILED.</w:t>
      </w:r>
    </w:p>
    <w:p>
      <w:pPr>
        <w:spacing w:after="120"/>
      </w:pPr>
      <w:r>
        <w:t>Corroboration robustness (new analysis): with another owner's conversation as evidence corroboration stops discriminating on hold-outs 4 and 8. (The 'threefold' threshold difference first reported here compared two benign budgets, not two owner sets; it is withdrawn -- see Section 17.)</w:t>
      </w:r>
    </w:p>
    <w:p>
      <w:pPr>
        <w:spacing w:after="120"/>
      </w:pPr>
      <w:r>
        <w:t>SA-2 (implicit-intent conditional rules, clean owner): content-only B12 excluded 0/60 attacks; corroboration-based B13 excluded 40/60 attacks and 0/60 grounded benign rules (grounded by construction; against ungrounded legitimate rules corroboration is not selective -- Section 18); sleeper-specific detectors failed. S2-1 HELD; S2-2 HELD; S2-3 HELD; S2-4a HELD; S2-4b HELD; S2-5 HELD.</w:t>
      </w:r>
    </w:p>
    <w:p>
      <w:pPr>
        <w:spacing w:after="120"/>
      </w:pPr>
      <w:r>
        <w:t>Real pipeline (Mem0 2.0.19, infer=True). Hold-out 4: 157/157 attacks stored, 155 carried their claim, 48 retrieved, 29 changed the answer; B13 on the stored memories excluded 59. M1-1 HELD; M1-2 HELD; M1-3 HELD; M1-4 HELD; M1-5 FAILED; M1-6 HELD; M2-1 HELD; M2-2 HELD; M2-3 HELD; M2-4 HELD; M2-5 HELD. REAL_MEMORY_PIPELINE_EVALUATION.md.</w:t>
      </w:r>
    </w:p>
    <w:p>
      <w:pPr>
        <w:pStyle w:val="Heading1"/>
      </w:pPr>
      <w:r>
        <w:t>17. Targeted Phase (2026-10-13): Owner-Disjoint B13 and Attack Validity</w:t>
      </w:r>
    </w:p>
    <w:p>
      <w:pPr>
        <w:spacing w:after="120"/>
      </w:pPr>
      <w:r>
        <w:t>Pre-registered in docs/phase17/PREREGISTRATION_TARGETED_2026-10-13.md before any outcome was computed; all data had been used before, so these are pre-specified re-analyses (hold-outs: repeated evaluations).</w:t>
      </w:r>
    </w:p>
    <w:p>
      <w:pPr>
        <w:spacing w:after="120"/>
      </w:pPr>
      <w:r>
        <w:t>Leave-one-owner-out B13 over the 10 LoCoMo owners (thresholds fitted on the other nine owners, frozen before the held-out owner was scored): detection 116/200, benign exclusion 15/2541 (per owner at most 1.5%), matching the shipped thresholds. Wrong-owner evidence raised benign exclusion to 474/2541 and a 10% conversation to 546/2541. A conservative policy (defer unrelated, exclude contradicted) detected 104 and excluded 29 benign and was rejected under its pre-declared criterion. Content-only B12 detected 0 of these fabrications. The earlier 'threefold owner instability' compared two benign budgets (the shipped constants were set at top_k 5 and sit at a 0.5% budget at top_k 20) and is withdrawn. B13_OWNER_GENERALISATION_REPORT.md.</w:t>
      </w:r>
    </w:p>
    <w:p>
      <w:pPr>
        <w:spacing w:after="120"/>
      </w:pPr>
      <w:r>
        <w:t>Attack validity with an empty-memory arm (150 items; 'without memory' in earlier sections is the clean-memory arm): under the fitted probe the empty store was judged compliant more often than the clean store (59 vs 38), so the fitted probe leaks the note's content; under the non-leading probe they coincide (5 vs 5). The memory-attributable effect (poisoned minus clean) is +47.3 and +24.0 points under C0 for the two probes, positive with cluster-robust intervals under both judges; defence ranking is identical across all definitions and probes. PROBE_AND_ATTACK_VALIDITY_FINAL.md.</w:t>
      </w:r>
    </w:p>
    <w:p>
      <w:r>
        <w:drawing>
          <wp:inline xmlns:a="http://schemas.openxmlformats.org/drawingml/2006/main" xmlns:pic="http://schemas.openxmlformats.org/drawingml/2006/picture">
            <wp:extent cx="5760720" cy="2048256"/>
            <wp:docPr id="7" name="Picture 7"/>
            <wp:cNvGraphicFramePr>
              <a:graphicFrameLocks noChangeAspect="1"/>
            </wp:cNvGraphicFramePr>
            <a:graphic>
              <a:graphicData uri="http://schemas.openxmlformats.org/drawingml/2006/picture">
                <pic:pic>
                  <pic:nvPicPr>
                    <pic:cNvPr id="0" name="F1_b13_loo.png"/>
                    <pic:cNvPicPr/>
                  </pic:nvPicPr>
                  <pic:blipFill>
                    <a:blip r:embed="rId15"/>
                    <a:stretch>
                      <a:fillRect/>
                    </a:stretch>
                  </pic:blipFill>
                  <pic:spPr>
                    <a:xfrm>
                      <a:off x="0" y="0"/>
                      <a:ext cx="5760720" cy="2048256"/>
                    </a:xfrm>
                    <a:prstGeom prst="rect"/>
                  </pic:spPr>
                </pic:pic>
              </a:graphicData>
            </a:graphic>
          </wp:inline>
        </w:drawing>
      </w:r>
    </w:p>
    <w:p>
      <w:pPr>
        <w:spacing w:after="200"/>
      </w:pPr>
      <w:r>
        <w:rPr>
          <w:i/>
          <w:sz w:val="18"/>
        </w:rPr>
        <w:t>Figure 7. B13 under leave-one-owner-out calibration: detection and benign exclusion per held-out owner (thresholds fitted on the other nine owners). Source: remediation/b13_owner_loo.json.</w:t>
      </w:r>
    </w:p>
    <w:p>
      <w:r>
        <w:drawing>
          <wp:inline xmlns:a="http://schemas.openxmlformats.org/drawingml/2006/main" xmlns:pic="http://schemas.openxmlformats.org/drawingml/2006/picture">
            <wp:extent cx="5760720" cy="2633472"/>
            <wp:docPr id="8" name="Picture 8"/>
            <wp:cNvGraphicFramePr>
              <a:graphicFrameLocks noChangeAspect="1"/>
            </wp:cNvGraphicFramePr>
            <a:graphic>
              <a:graphicData uri="http://schemas.openxmlformats.org/drawingml/2006/picture">
                <pic:pic>
                  <pic:nvPicPr>
                    <pic:cNvPr id="0" name="F2_b13_evidence.png"/>
                    <pic:cNvPicPr/>
                  </pic:nvPicPr>
                  <pic:blipFill>
                    <a:blip r:embed="rId16"/>
                    <a:stretch>
                      <a:fillRect/>
                    </a:stretch>
                  </pic:blipFill>
                  <pic:spPr>
                    <a:xfrm>
                      <a:off x="0" y="0"/>
                      <a:ext cx="5760720" cy="2633472"/>
                    </a:xfrm>
                    <a:prstGeom prst="rect"/>
                  </pic:spPr>
                </pic:pic>
              </a:graphicData>
            </a:graphic>
          </wp:inline>
        </w:drawing>
      </w:r>
    </w:p>
    <w:p>
      <w:pPr>
        <w:spacing w:after="200"/>
      </w:pPr>
      <w:r>
        <w:rPr>
          <w:i/>
          <w:sz w:val="18"/>
        </w:rPr>
        <w:t>Figure 8. B13 under different evidence: wrong or truncated conversations, not the calibration owners, drive benign exclusion. Source: remediation/b13_owner_loo.json.</w:t>
      </w:r>
    </w:p>
    <w:p>
      <w:r>
        <w:drawing>
          <wp:inline xmlns:a="http://schemas.openxmlformats.org/drawingml/2006/main" xmlns:pic="http://schemas.openxmlformats.org/drawingml/2006/picture">
            <wp:extent cx="5760720" cy="2633472"/>
            <wp:docPr id="9" name="Picture 9"/>
            <wp:cNvGraphicFramePr>
              <a:graphicFrameLocks noChangeAspect="1"/>
            </wp:cNvGraphicFramePr>
            <a:graphic>
              <a:graphicData uri="http://schemas.openxmlformats.org/drawingml/2006/picture">
                <pic:pic>
                  <pic:nvPicPr>
                    <pic:cNvPr id="0" name="F3_validity_three_conditions.png"/>
                    <pic:cNvPicPr/>
                  </pic:nvPicPr>
                  <pic:blipFill>
                    <a:blip r:embed="rId17"/>
                    <a:stretch>
                      <a:fillRect/>
                    </a:stretch>
                  </pic:blipFill>
                  <pic:spPr>
                    <a:xfrm>
                      <a:off x="0" y="0"/>
                      <a:ext cx="5760720" cy="2633472"/>
                    </a:xfrm>
                    <a:prstGeom prst="rect"/>
                  </pic:spPr>
                </pic:pic>
              </a:graphicData>
            </a:graphic>
          </wp:inline>
        </w:drawing>
      </w:r>
    </w:p>
    <w:p>
      <w:pPr>
        <w:spacing w:after="200"/>
      </w:pPr>
      <w:r>
        <w:rPr>
          <w:i/>
          <w:sz w:val="18"/>
        </w:rPr>
        <w:t>Figure 9. Compliance with no memory, a clean store and a poisoned store under both probes (C0, 150 items). Source: remediation/validity_final.json.</w:t>
      </w:r>
    </w:p>
    <w:p>
      <w:pPr>
        <w:spacing w:after="120"/>
      </w:pPr>
      <w:r>
        <w:t>Annotation: annotator 1 is the author; annotator 2 is the author's friend, who labelled on the author's laptop under written blinding instructions. Neither is independent of the author; the labels are used only to choose between LLM judges. ANNOTATION_PROVENANCE_FINAL.md.</w:t>
      </w:r>
    </w:p>
    <w:p>
      <w:pPr>
        <w:pStyle w:val="Heading1"/>
      </w:pPr>
      <w:r>
        <w:t>18. Defence Programme v2 (2026-10-13): Lineage, Multi-Generation Containment, Hard Sleeper Controls</w:t>
      </w:r>
    </w:p>
    <w:p>
      <w:pPr>
        <w:spacing w:after="120"/>
      </w:pPr>
      <w:r>
        <w:t>Pre-registered in docs/phase17/PREREGISTRATION_DEFENCE_V2_2026-10-13.md. Three workstreams addressed the three research gaps; every candidate was frozen before its held-out evaluation and failures are reported as such.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Rule</w:t>
            </w:r>
          </w:p>
        </w:tc>
        <w:tc>
          <w:tcPr>
            <w:tcW w:type="dxa" w:w="1728"/>
          </w:tcPr>
          <w:p>
            <w:pPr>
              <w:spacing w:after="40"/>
            </w:pPr>
            <w:r>
              <w:rPr>
                <w:b/>
                <w:sz w:val="18"/>
              </w:rPr>
              <w:t>Stored-text decision (attacks / benign)</w:t>
            </w:r>
          </w:p>
        </w:tc>
        <w:tc>
          <w:tcPr>
            <w:tcW w:type="dxa" w:w="1728"/>
          </w:tcPr>
          <w:p>
            <w:pPr>
              <w:spacing w:after="40"/>
            </w:pPr>
            <w:r>
              <w:rPr>
                <w:b/>
                <w:sz w:val="18"/>
              </w:rPr>
              <w:t>With source lineage (SAG)</w:t>
            </w:r>
          </w:p>
        </w:tc>
        <w:tc>
          <w:tcPr>
            <w:tcW w:type="dxa" w:w="1728"/>
          </w:tcPr>
          <w:p>
            <w:pPr>
              <w:spacing w:after="40"/>
            </w:pPr>
            <w:r>
              <w:rPr>
                <w:b/>
                <w:sz w:val="18"/>
              </w:rPr>
              <w:t>Wrong lineage</w:t>
            </w:r>
          </w:p>
        </w:tc>
      </w:tr>
      <w:tr>
        <w:tc>
          <w:tcPr>
            <w:tcW w:type="dxa" w:w="1728"/>
          </w:tcPr>
          <w:p>
            <w:pPr>
              <w:spacing w:after="40"/>
            </w:pPr>
            <w:r>
              <w:rPr>
                <w:sz w:val="18"/>
              </w:rPr>
              <w:t>MEM-1 (HO4 via Mem0)</w:t>
            </w:r>
          </w:p>
        </w:tc>
        <w:tc>
          <w:tcPr>
            <w:tcW w:type="dxa" w:w="1728"/>
          </w:tcPr>
          <w:p>
            <w:pPr>
              <w:spacing w:after="40"/>
            </w:pPr>
            <w:r>
              <w:rPr>
                <w:sz w:val="18"/>
              </w:rPr>
              <w:t>B12</w:t>
            </w:r>
          </w:p>
        </w:tc>
        <w:tc>
          <w:tcPr>
            <w:tcW w:type="dxa" w:w="1728"/>
          </w:tcPr>
          <w:p>
            <w:pPr>
              <w:spacing w:after="40"/>
            </w:pPr>
            <w:r>
              <w:rPr>
                <w:sz w:val="18"/>
              </w:rPr>
              <w:t>2/157 / 6/262</w:t>
            </w:r>
          </w:p>
        </w:tc>
        <w:tc>
          <w:tcPr>
            <w:tcW w:type="dxa" w:w="1728"/>
          </w:tcPr>
          <w:p>
            <w:pPr>
              <w:spacing w:after="40"/>
            </w:pPr>
            <w:r>
              <w:rPr>
                <w:sz w:val="18"/>
              </w:rPr>
              <w:t>3/157 / 9/262</w:t>
            </w:r>
          </w:p>
        </w:tc>
        <w:tc>
          <w:tcPr>
            <w:tcW w:type="dxa" w:w="1728"/>
          </w:tcPr>
          <w:p>
            <w:pPr>
              <w:spacing w:after="40"/>
            </w:pPr>
            <w:r>
              <w:rPr>
                <w:sz w:val="18"/>
              </w:rPr>
              <w:t>5/157 / 10/262</w:t>
            </w:r>
          </w:p>
        </w:tc>
      </w:tr>
      <w:tr>
        <w:tc>
          <w:tcPr>
            <w:tcW w:type="dxa" w:w="1728"/>
          </w:tcPr>
          <w:p>
            <w:pPr>
              <w:spacing w:after="40"/>
            </w:pPr>
            <w:r>
              <w:rPr>
                <w:sz w:val="18"/>
              </w:rPr>
              <w:t>MEM-1 (HO4 via Mem0)</w:t>
            </w:r>
          </w:p>
        </w:tc>
        <w:tc>
          <w:tcPr>
            <w:tcW w:type="dxa" w:w="1728"/>
          </w:tcPr>
          <w:p>
            <w:pPr>
              <w:spacing w:after="40"/>
            </w:pPr>
            <w:r>
              <w:rPr>
                <w:sz w:val="18"/>
              </w:rPr>
              <w:t>B13</w:t>
            </w:r>
          </w:p>
        </w:tc>
        <w:tc>
          <w:tcPr>
            <w:tcW w:type="dxa" w:w="1728"/>
          </w:tcPr>
          <w:p>
            <w:pPr>
              <w:spacing w:after="40"/>
            </w:pPr>
            <w:r>
              <w:rPr>
                <w:sz w:val="18"/>
              </w:rPr>
              <w:t>59/157 / 37/262</w:t>
            </w:r>
          </w:p>
        </w:tc>
        <w:tc>
          <w:tcPr>
            <w:tcW w:type="dxa" w:w="1728"/>
          </w:tcPr>
          <w:p>
            <w:pPr>
              <w:spacing w:after="40"/>
            </w:pPr>
            <w:r>
              <w:rPr>
                <w:sz w:val="18"/>
              </w:rPr>
              <w:t>87/157 / 50/262</w:t>
            </w:r>
          </w:p>
        </w:tc>
        <w:tc>
          <w:tcPr>
            <w:tcW w:type="dxa" w:w="1728"/>
          </w:tcPr>
          <w:p>
            <w:pPr>
              <w:spacing w:after="40"/>
            </w:pPr>
            <w:r>
              <w:rPr>
                <w:sz w:val="18"/>
              </w:rPr>
              <w:t>82/157 / 102/262</w:t>
            </w:r>
          </w:p>
        </w:tc>
      </w:tr>
      <w:tr>
        <w:tc>
          <w:tcPr>
            <w:tcW w:type="dxa" w:w="1728"/>
          </w:tcPr>
          <w:p>
            <w:pPr>
              <w:spacing w:after="40"/>
            </w:pPr>
            <w:r>
              <w:rPr>
                <w:sz w:val="18"/>
              </w:rPr>
              <w:t>MEM-2 (SA-1 via Mem0)</w:t>
            </w:r>
          </w:p>
        </w:tc>
        <w:tc>
          <w:tcPr>
            <w:tcW w:type="dxa" w:w="1728"/>
          </w:tcPr>
          <w:p>
            <w:pPr>
              <w:spacing w:after="40"/>
            </w:pPr>
            <w:r>
              <w:rPr>
                <w:sz w:val="18"/>
              </w:rPr>
              <w:t>B12</w:t>
            </w:r>
          </w:p>
        </w:tc>
        <w:tc>
          <w:tcPr>
            <w:tcW w:type="dxa" w:w="1728"/>
          </w:tcPr>
          <w:p>
            <w:pPr>
              <w:spacing w:after="40"/>
            </w:pPr>
            <w:r>
              <w:rPr>
                <w:sz w:val="18"/>
              </w:rPr>
              <w:t>22/60 / 1/60</w:t>
            </w:r>
          </w:p>
        </w:tc>
        <w:tc>
          <w:tcPr>
            <w:tcW w:type="dxa" w:w="1728"/>
          </w:tcPr>
          <w:p>
            <w:pPr>
              <w:spacing w:after="40"/>
            </w:pPr>
            <w:r>
              <w:rPr>
                <w:sz w:val="18"/>
              </w:rPr>
              <w:t>60/60 / 2/60</w:t>
            </w:r>
          </w:p>
        </w:tc>
        <w:tc>
          <w:tcPr>
            <w:tcW w:type="dxa" w:w="1728"/>
          </w:tcPr>
          <w:p>
            <w:pPr>
              <w:spacing w:after="40"/>
            </w:pPr>
            <w:r>
              <w:rPr>
                <w:sz w:val="18"/>
              </w:rPr>
              <w:t>35/60 / 36/60</w:t>
            </w:r>
          </w:p>
        </w:tc>
      </w:tr>
      <w:tr>
        <w:tc>
          <w:tcPr>
            <w:tcW w:type="dxa" w:w="1728"/>
          </w:tcPr>
          <w:p>
            <w:pPr>
              <w:spacing w:after="40"/>
            </w:pPr>
            <w:r>
              <w:rPr>
                <w:sz w:val="18"/>
              </w:rPr>
              <w:t>MEM-2 (SA-1 via Mem0)</w:t>
            </w:r>
          </w:p>
        </w:tc>
        <w:tc>
          <w:tcPr>
            <w:tcW w:type="dxa" w:w="1728"/>
          </w:tcPr>
          <w:p>
            <w:pPr>
              <w:spacing w:after="40"/>
            </w:pPr>
            <w:r>
              <w:rPr>
                <w:sz w:val="18"/>
              </w:rPr>
              <w:t>B13</w:t>
            </w:r>
          </w:p>
        </w:tc>
        <w:tc>
          <w:tcPr>
            <w:tcW w:type="dxa" w:w="1728"/>
          </w:tcPr>
          <w:p>
            <w:pPr>
              <w:spacing w:after="40"/>
            </w:pPr>
            <w:r>
              <w:rPr>
                <w:sz w:val="18"/>
              </w:rPr>
              <w:t>23/60 / 2/60</w:t>
            </w:r>
          </w:p>
        </w:tc>
        <w:tc>
          <w:tcPr>
            <w:tcW w:type="dxa" w:w="1728"/>
          </w:tcPr>
          <w:p>
            <w:pPr>
              <w:spacing w:after="40"/>
            </w:pPr>
            <w:r>
              <w:rPr>
                <w:sz w:val="18"/>
              </w:rPr>
              <w:t>60/60 / 3/60</w:t>
            </w:r>
          </w:p>
        </w:tc>
        <w:tc>
          <w:tcPr>
            <w:tcW w:type="dxa" w:w="1728"/>
          </w:tcPr>
          <w:p>
            <w:pPr>
              <w:spacing w:after="40"/>
            </w:pPr>
            <w:r>
              <w:rPr>
                <w:sz w:val="18"/>
              </w:rPr>
              <w:t>35/60 / 36/60</w:t>
            </w:r>
          </w:p>
        </w:tc>
      </w:tr>
      <w:tr>
        <w:tc>
          <w:tcPr>
            <w:tcW w:type="dxa" w:w="1728"/>
          </w:tcPr>
          <w:p>
            <w:pPr>
              <w:spacing w:after="40"/>
            </w:pPr>
            <w:r>
              <w:rPr>
                <w:sz w:val="18"/>
              </w:rPr>
              <w:t>SA-3 eval vs ungrounded benign</w:t>
            </w:r>
          </w:p>
        </w:tc>
        <w:tc>
          <w:tcPr>
            <w:tcW w:type="dxa" w:w="1728"/>
          </w:tcPr>
          <w:p>
            <w:pPr>
              <w:spacing w:after="40"/>
            </w:pPr>
            <w:r>
              <w:rPr>
                <w:sz w:val="18"/>
              </w:rPr>
              <w:t>B12</w:t>
            </w:r>
          </w:p>
        </w:tc>
        <w:tc>
          <w:tcPr>
            <w:tcW w:type="dxa" w:w="1728"/>
          </w:tcPr>
          <w:p>
            <w:pPr>
              <w:spacing w:after="40"/>
            </w:pPr>
            <w:r>
              <w:rPr>
                <w:sz w:val="18"/>
              </w:rPr>
              <w:t>1/45 / 0/45</w:t>
            </w:r>
          </w:p>
        </w:tc>
        <w:tc>
          <w:tcPr>
            <w:tcW w:type="dxa" w:w="1728"/>
          </w:tcPr>
          <w:p>
            <w:pPr>
              <w:spacing w:after="40"/>
            </w:pPr>
            <w:r>
              <w:rPr>
                <w:sz w:val="18"/>
              </w:rPr>
              <w:t>3/45 / 0/45</w:t>
            </w:r>
          </w:p>
        </w:tc>
        <w:tc>
          <w:tcPr>
            <w:tcW w:type="dxa" w:w="1728"/>
          </w:tcPr>
          <w:p>
            <w:pPr>
              <w:spacing w:after="40"/>
            </w:pPr>
            <w:r>
              <w:rPr>
                <w:sz w:val="18"/>
              </w:rPr>
              <w:t>3/45 / 1/45</w:t>
            </w:r>
          </w:p>
        </w:tc>
      </w:tr>
      <w:tr>
        <w:tc>
          <w:tcPr>
            <w:tcW w:type="dxa" w:w="1728"/>
          </w:tcPr>
          <w:p>
            <w:pPr>
              <w:spacing w:after="40"/>
            </w:pPr>
            <w:r>
              <w:rPr>
                <w:sz w:val="18"/>
              </w:rPr>
              <w:t>SA-3 eval vs ungrounded benign</w:t>
            </w:r>
          </w:p>
        </w:tc>
        <w:tc>
          <w:tcPr>
            <w:tcW w:type="dxa" w:w="1728"/>
          </w:tcPr>
          <w:p>
            <w:pPr>
              <w:spacing w:after="40"/>
            </w:pPr>
            <w:r>
              <w:rPr>
                <w:sz w:val="18"/>
              </w:rPr>
              <w:t>B13</w:t>
            </w:r>
          </w:p>
        </w:tc>
        <w:tc>
          <w:tcPr>
            <w:tcW w:type="dxa" w:w="1728"/>
          </w:tcPr>
          <w:p>
            <w:pPr>
              <w:spacing w:after="40"/>
            </w:pPr>
            <w:r>
              <w:rPr>
                <w:sz w:val="18"/>
              </w:rPr>
              <w:t>18/45 / 9/45</w:t>
            </w:r>
          </w:p>
        </w:tc>
        <w:tc>
          <w:tcPr>
            <w:tcW w:type="dxa" w:w="1728"/>
          </w:tcPr>
          <w:p>
            <w:pPr>
              <w:spacing w:after="40"/>
            </w:pPr>
            <w:r>
              <w:rPr>
                <w:sz w:val="18"/>
              </w:rPr>
              <w:t>33/45 / 26/45</w:t>
            </w:r>
          </w:p>
        </w:tc>
        <w:tc>
          <w:tcPr>
            <w:tcW w:type="dxa" w:w="1728"/>
          </w:tcPr>
          <w:p>
            <w:pPr>
              <w:spacing w:after="40"/>
            </w:pPr>
            <w:r>
              <w:rPr>
                <w:sz w:val="18"/>
              </w:rPr>
              <w:t>33/45 / 35/45</w:t>
            </w:r>
          </w:p>
        </w:tc>
      </w:tr>
    </w:tbl>
    <w:p>
      <w:pPr>
        <w:spacing w:after="200"/>
      </w:pPr>
      <w:r>
        <w:rPr>
          <w:i/>
          <w:sz w:val="18"/>
        </w:rPr>
        <w:t>Table 18A. Source-anchored governance: inheriting the raw item's decision through write-time lineage. Inheriting B13 (which includes corroboration) exceeded the 3-point benign limit; inheriting the content decision (B12) recovers explicit payloads Mem0 strips. Source: phase17/data/defence_v2/sag_eval.json.</w:t>
      </w:r>
    </w:p>
    <w:p>
      <w:pPr>
        <w:spacing w:after="120"/>
      </w:pPr>
      <w:r>
        <w:t>Multi-generation containment on held-out HO4 chains (owner 7; 157 attack roots, 79 flagged): root-anchored lineage (RCL) withheld 67/69, 32/36, 20/22, 15/18 payload-carrying descendants at generations 1-4 against 67/69, 16/36, 6/22, 5/18 for the frozen guard, cutting memory-attributable influence at generation 4 to 4/79 (undefended 12/79) with 0/40 collateral on unflagged benign descendants; all four pre-declared criteria held. Descendants of wrongly flagged benign roots stay withheld (12/31 at generation 4) until the root is released.</w:t>
      </w:r>
    </w:p>
    <w:p>
      <w:pPr>
        <w:spacing w:after="120"/>
      </w:pPr>
      <w:r>
        <w:t>Implicit sleepers against ungrounded benign conditional rules (SA-3; owner-disjoint dev 0,2,4,6 / eval 5,7,8): corroboration flagged 32/45 attacks but 25/45 legitimate ungrounded rules; the dev-selected policy (B13&amp;INTENT_v2) detected 3/45 on eval. SA-2's earlier 40/60 vs 0/60 separation held only against benign rules grounded in the owner's conversation by construction.</w:t>
      </w:r>
    </w:p>
    <w:p>
      <w:pPr>
        <w:pStyle w:val="Heading1"/>
      </w:pPr>
      <w:r>
        <w:t>19. Defence Programme v3 (2026-10-13/14): Verified Lineage, Claim Tracking, Steering Signal</w:t>
      </w:r>
    </w:p>
    <w:p>
      <w:pPr>
        <w:spacing w:after="120"/>
      </w:pPr>
      <w:r>
        <w:t>Pre-registered in docs/phase17/PREREGISTRATION_DEFENCE_V3_2026-10-13.md with weighted closure rubrics (FINAL_DEFENCE_BASELINE_AUDIT.md section 3) fixed before any outcome.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Lineage</w:t>
            </w:r>
          </w:p>
        </w:tc>
        <w:tc>
          <w:tcPr>
            <w:tcW w:type="dxa" w:w="1728"/>
          </w:tcPr>
          <w:p>
            <w:pPr>
              <w:spacing w:after="40"/>
            </w:pPr>
            <w:r>
              <w:rPr>
                <w:b/>
                <w:sz w:val="18"/>
              </w:rPr>
              <w:t>Attacks: B13 stored -&gt; VPL</w:t>
            </w:r>
          </w:p>
        </w:tc>
        <w:tc>
          <w:tcPr>
            <w:tcW w:type="dxa" w:w="1728"/>
          </w:tcPr>
          <w:p>
            <w:pPr>
              <w:spacing w:after="40"/>
            </w:pPr>
            <w:r>
              <w:rPr>
                <w:b/>
                <w:sz w:val="18"/>
              </w:rPr>
              <w:t>Benign: B13 stored -&gt; VPL</w:t>
            </w:r>
          </w:p>
        </w:tc>
        <w:tc>
          <w:tcPr>
            <w:tcW w:type="dxa" w:w="1728"/>
          </w:tcPr>
          <w:p>
            <w:pPr>
              <w:spacing w:after="40"/>
            </w:pPr>
            <w:r>
              <w:rPr>
                <w:b/>
                <w:sz w:val="18"/>
              </w:rPr>
              <w:t>Links accepted</w:t>
            </w:r>
          </w:p>
        </w:tc>
      </w:tr>
      <w:tr>
        <w:tc>
          <w:tcPr>
            <w:tcW w:type="dxa" w:w="1728"/>
          </w:tcPr>
          <w:p>
            <w:pPr>
              <w:spacing w:after="40"/>
            </w:pPr>
            <w:r>
              <w:rPr>
                <w:sz w:val="18"/>
              </w:rPr>
              <w:t>MEM1</w:t>
            </w:r>
          </w:p>
        </w:tc>
        <w:tc>
          <w:tcPr>
            <w:tcW w:type="dxa" w:w="1728"/>
          </w:tcPr>
          <w:p>
            <w:pPr>
              <w:spacing w:after="40"/>
            </w:pPr>
            <w:r>
              <w:rPr>
                <w:sz w:val="18"/>
              </w:rPr>
              <w:t>correct</w:t>
            </w:r>
          </w:p>
        </w:tc>
        <w:tc>
          <w:tcPr>
            <w:tcW w:type="dxa" w:w="1728"/>
          </w:tcPr>
          <w:p>
            <w:pPr>
              <w:spacing w:after="40"/>
            </w:pPr>
            <w:r>
              <w:rPr>
                <w:sz w:val="18"/>
              </w:rPr>
              <w:t>59/157 -&gt; 60/157</w:t>
            </w:r>
          </w:p>
        </w:tc>
        <w:tc>
          <w:tcPr>
            <w:tcW w:type="dxa" w:w="1728"/>
          </w:tcPr>
          <w:p>
            <w:pPr>
              <w:spacing w:after="40"/>
            </w:pPr>
            <w:r>
              <w:rPr>
                <w:sz w:val="18"/>
              </w:rPr>
              <w:t>37/262 -&gt; 37/262</w:t>
            </w:r>
          </w:p>
        </w:tc>
        <w:tc>
          <w:tcPr>
            <w:tcW w:type="dxa" w:w="1728"/>
          </w:tcPr>
          <w:p>
            <w:pPr>
              <w:spacing w:after="40"/>
            </w:pPr>
            <w:r>
              <w:rPr>
                <w:sz w:val="18"/>
              </w:rPr>
              <w:t>431/433</w:t>
            </w:r>
          </w:p>
        </w:tc>
      </w:tr>
      <w:tr>
        <w:tc>
          <w:tcPr>
            <w:tcW w:type="dxa" w:w="1728"/>
          </w:tcPr>
          <w:p>
            <w:pPr>
              <w:spacing w:after="40"/>
            </w:pPr>
            <w:r>
              <w:rPr>
                <w:sz w:val="18"/>
              </w:rPr>
              <w:t>MEM1</w:t>
            </w:r>
          </w:p>
        </w:tc>
        <w:tc>
          <w:tcPr>
            <w:tcW w:type="dxa" w:w="1728"/>
          </w:tcPr>
          <w:p>
            <w:pPr>
              <w:spacing w:after="40"/>
            </w:pPr>
            <w:r>
              <w:rPr>
                <w:sz w:val="18"/>
              </w:rPr>
              <w:t>wrong</w:t>
            </w:r>
          </w:p>
        </w:tc>
        <w:tc>
          <w:tcPr>
            <w:tcW w:type="dxa" w:w="1728"/>
          </w:tcPr>
          <w:p>
            <w:pPr>
              <w:spacing w:after="40"/>
            </w:pPr>
            <w:r>
              <w:rPr>
                <w:sz w:val="18"/>
              </w:rPr>
              <w:t>59/157 -&gt; 59/157</w:t>
            </w:r>
          </w:p>
        </w:tc>
        <w:tc>
          <w:tcPr>
            <w:tcW w:type="dxa" w:w="1728"/>
          </w:tcPr>
          <w:p>
            <w:pPr>
              <w:spacing w:after="40"/>
            </w:pPr>
            <w:r>
              <w:rPr>
                <w:sz w:val="18"/>
              </w:rPr>
              <w:t>37/262 -&gt; 37/262</w:t>
            </w:r>
          </w:p>
        </w:tc>
        <w:tc>
          <w:tcPr>
            <w:tcW w:type="dxa" w:w="1728"/>
          </w:tcPr>
          <w:p>
            <w:pPr>
              <w:spacing w:after="40"/>
            </w:pPr>
            <w:r>
              <w:rPr>
                <w:sz w:val="18"/>
              </w:rPr>
              <w:t>47/433</w:t>
            </w:r>
          </w:p>
        </w:tc>
      </w:tr>
      <w:tr>
        <w:tc>
          <w:tcPr>
            <w:tcW w:type="dxa" w:w="1728"/>
          </w:tcPr>
          <w:p>
            <w:pPr>
              <w:spacing w:after="40"/>
            </w:pPr>
            <w:r>
              <w:rPr>
                <w:sz w:val="18"/>
              </w:rPr>
              <w:t>MEM2</w:t>
            </w:r>
          </w:p>
        </w:tc>
        <w:tc>
          <w:tcPr>
            <w:tcW w:type="dxa" w:w="1728"/>
          </w:tcPr>
          <w:p>
            <w:pPr>
              <w:spacing w:after="40"/>
            </w:pPr>
            <w:r>
              <w:rPr>
                <w:sz w:val="18"/>
              </w:rPr>
              <w:t>correct</w:t>
            </w:r>
          </w:p>
        </w:tc>
        <w:tc>
          <w:tcPr>
            <w:tcW w:type="dxa" w:w="1728"/>
          </w:tcPr>
          <w:p>
            <w:pPr>
              <w:spacing w:after="40"/>
            </w:pPr>
            <w:r>
              <w:rPr>
                <w:sz w:val="18"/>
              </w:rPr>
              <w:t>23/60 -&gt; 58/60</w:t>
            </w:r>
          </w:p>
        </w:tc>
        <w:tc>
          <w:tcPr>
            <w:tcW w:type="dxa" w:w="1728"/>
          </w:tcPr>
          <w:p>
            <w:pPr>
              <w:spacing w:after="40"/>
            </w:pPr>
            <w:r>
              <w:rPr>
                <w:sz w:val="18"/>
              </w:rPr>
              <w:t>2/60 -&gt; 3/60</w:t>
            </w:r>
          </w:p>
        </w:tc>
        <w:tc>
          <w:tcPr>
            <w:tcW w:type="dxa" w:w="1728"/>
          </w:tcPr>
          <w:p>
            <w:pPr>
              <w:spacing w:after="40"/>
            </w:pPr>
            <w:r>
              <w:rPr>
                <w:sz w:val="18"/>
              </w:rPr>
              <w:t>133/137</w:t>
            </w:r>
          </w:p>
        </w:tc>
      </w:tr>
      <w:tr>
        <w:tc>
          <w:tcPr>
            <w:tcW w:type="dxa" w:w="1728"/>
          </w:tcPr>
          <w:p>
            <w:pPr>
              <w:spacing w:after="40"/>
            </w:pPr>
            <w:r>
              <w:rPr>
                <w:sz w:val="18"/>
              </w:rPr>
              <w:t>MEM2</w:t>
            </w:r>
          </w:p>
        </w:tc>
        <w:tc>
          <w:tcPr>
            <w:tcW w:type="dxa" w:w="1728"/>
          </w:tcPr>
          <w:p>
            <w:pPr>
              <w:spacing w:after="40"/>
            </w:pPr>
            <w:r>
              <w:rPr>
                <w:sz w:val="18"/>
              </w:rPr>
              <w:t>wrong</w:t>
            </w:r>
          </w:p>
        </w:tc>
        <w:tc>
          <w:tcPr>
            <w:tcW w:type="dxa" w:w="1728"/>
          </w:tcPr>
          <w:p>
            <w:pPr>
              <w:spacing w:after="40"/>
            </w:pPr>
            <w:r>
              <w:rPr>
                <w:sz w:val="18"/>
              </w:rPr>
              <w:t>23/60 -&gt; 26/60</w:t>
            </w:r>
          </w:p>
        </w:tc>
        <w:tc>
          <w:tcPr>
            <w:tcW w:type="dxa" w:w="1728"/>
          </w:tcPr>
          <w:p>
            <w:pPr>
              <w:spacing w:after="40"/>
            </w:pPr>
            <w:r>
              <w:rPr>
                <w:sz w:val="18"/>
              </w:rPr>
              <w:t>2/60 -&gt; 3/60</w:t>
            </w:r>
          </w:p>
        </w:tc>
        <w:tc>
          <w:tcPr>
            <w:tcW w:type="dxa" w:w="1728"/>
          </w:tcPr>
          <w:p>
            <w:pPr>
              <w:spacing w:after="40"/>
            </w:pPr>
            <w:r>
              <w:rPr>
                <w:sz w:val="18"/>
              </w:rPr>
              <w:t>16/137</w:t>
            </w:r>
          </w:p>
        </w:tc>
      </w:tr>
      <w:tr>
        <w:tc>
          <w:tcPr>
            <w:tcW w:type="dxa" w:w="1728"/>
          </w:tcPr>
          <w:p>
            <w:pPr>
              <w:spacing w:after="40"/>
            </w:pPr>
            <w:r>
              <w:rPr>
                <w:sz w:val="18"/>
              </w:rPr>
              <w:t>SA3eval_unground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9/45 -&gt; 9/45</w:t>
            </w:r>
          </w:p>
        </w:tc>
        <w:tc>
          <w:tcPr>
            <w:tcW w:type="dxa" w:w="1728"/>
          </w:tcPr>
          <w:p>
            <w:pPr>
              <w:spacing w:after="40"/>
            </w:pPr>
            <w:r>
              <w:rPr>
                <w:sz w:val="18"/>
              </w:rPr>
              <w:t>90/91</w:t>
            </w:r>
          </w:p>
        </w:tc>
      </w:tr>
      <w:tr>
        <w:tc>
          <w:tcPr>
            <w:tcW w:type="dxa" w:w="1728"/>
          </w:tcPr>
          <w:p>
            <w:pPr>
              <w:spacing w:after="40"/>
            </w:pPr>
            <w:r>
              <w:rPr>
                <w:sz w:val="18"/>
              </w:rPr>
              <w:t>SA3eval_unground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9/45 -&gt; 9/45</w:t>
            </w:r>
          </w:p>
        </w:tc>
        <w:tc>
          <w:tcPr>
            <w:tcW w:type="dxa" w:w="1728"/>
          </w:tcPr>
          <w:p>
            <w:pPr>
              <w:spacing w:after="40"/>
            </w:pPr>
            <w:r>
              <w:rPr>
                <w:sz w:val="18"/>
              </w:rPr>
              <w:t>1/91</w:t>
            </w:r>
          </w:p>
        </w:tc>
      </w:tr>
      <w:tr>
        <w:tc>
          <w:tcPr>
            <w:tcW w:type="dxa" w:w="1728"/>
          </w:tcPr>
          <w:p>
            <w:pPr>
              <w:spacing w:after="40"/>
            </w:pPr>
            <w:r>
              <w:rPr>
                <w:sz w:val="18"/>
              </w:rPr>
              <w:t>SA3eval_ground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0/45 -&gt; 1/45</w:t>
            </w:r>
          </w:p>
        </w:tc>
        <w:tc>
          <w:tcPr>
            <w:tcW w:type="dxa" w:w="1728"/>
          </w:tcPr>
          <w:p>
            <w:pPr>
              <w:spacing w:after="40"/>
            </w:pPr>
            <w:r>
              <w:rPr>
                <w:sz w:val="18"/>
              </w:rPr>
              <w:t>83/83</w:t>
            </w:r>
          </w:p>
        </w:tc>
      </w:tr>
      <w:tr>
        <w:tc>
          <w:tcPr>
            <w:tcW w:type="dxa" w:w="1728"/>
          </w:tcPr>
          <w:p>
            <w:pPr>
              <w:spacing w:after="40"/>
            </w:pPr>
            <w:r>
              <w:rPr>
                <w:sz w:val="18"/>
              </w:rPr>
              <w:t>SA3eval_ground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0/45 -&gt; 0/45</w:t>
            </w:r>
          </w:p>
        </w:tc>
        <w:tc>
          <w:tcPr>
            <w:tcW w:type="dxa" w:w="1728"/>
          </w:tcPr>
          <w:p>
            <w:pPr>
              <w:spacing w:after="40"/>
            </w:pPr>
            <w:r>
              <w:rPr>
                <w:sz w:val="18"/>
              </w:rPr>
              <w:t>1/83</w:t>
            </w:r>
          </w:p>
        </w:tc>
      </w:tr>
    </w:tbl>
    <w:p>
      <w:pPr>
        <w:spacing w:after="200"/>
      </w:pPr>
      <w:r>
        <w:rPr>
          <w:i/>
          <w:sz w:val="18"/>
        </w:rPr>
        <w:t>Table 19A. Verified payload-only lineage (P = B12, link threshold 0.490, selected on SA-3 dev through Mem0). Wrong lineage no longer adds benign exclusion; the gain is limited to explicit payloads (MEM-2). Not accepted as a B13 replacement (gain on 1 of 3 sets). Source: defence_v3/vpl_eval.json.</w:t>
      </w:r>
    </w:p>
    <w:p>
      <w:pPr>
        <w:spacing w:after="120"/>
      </w:pPr>
      <w:r>
        <w:t>Claim-tracked containment (NLI entailment of the root claim, tau 0.00474, selected on dev chains) on new held-out HO8 instruction-style chains: 15/18 payload-carrying descendants withheld at generation 4 against 6/18 (frozen guard) and 9/18 (RCL); worse than RCL on factual payloads; not accepted. An evaluation-code defect (lineage arms ignored the root-flag guard) was found on first scoring, fixed to the pre-registered definition, and the defective output kept.</w:t>
      </w:r>
    </w:p>
    <w:p>
      <w:pPr>
        <w:spacing w:after="120"/>
      </w:pPr>
      <w:r>
        <w:t>Novel-entity steering signal (N1) on SA-3 dev: 51/60 attacks but 29/60 legitimate ungrounded rules; no policy met the dev limits and the carried-forward policy failed on eval.</w:t>
      </w:r>
    </w:p>
    <w:p>
      <w:r>
        <w:drawing>
          <wp:inline xmlns:a="http://schemas.openxmlformats.org/drawingml/2006/main" xmlns:pic="http://schemas.openxmlformats.org/drawingml/2006/picture">
            <wp:extent cx="5760720" cy="3545058"/>
            <wp:docPr id="10" name="Picture 10"/>
            <wp:cNvGraphicFramePr>
              <a:graphicFrameLocks noChangeAspect="1"/>
            </wp:cNvGraphicFramePr>
            <a:graphic>
              <a:graphicData uri="http://schemas.openxmlformats.org/drawingml/2006/picture">
                <pic:pic>
                  <pic:nvPicPr>
                    <pic:cNvPr id="0" name="F5_sleeper_detectors.png"/>
                    <pic:cNvPicPr/>
                  </pic:nvPicPr>
                  <pic:blipFill>
                    <a:blip r:embed="rId18"/>
                    <a:stretch>
                      <a:fillRect/>
                    </a:stretch>
                  </pic:blipFill>
                  <pic:spPr>
                    <a:xfrm>
                      <a:off x="0" y="0"/>
                      <a:ext cx="5760720" cy="3545058"/>
                    </a:xfrm>
                    <a:prstGeom prst="rect"/>
                  </pic:spPr>
                </pic:pic>
              </a:graphicData>
            </a:graphic>
          </wp:inline>
        </w:drawing>
      </w:r>
    </w:p>
    <w:p>
      <w:pPr>
        <w:spacing w:after="200"/>
      </w:pPr>
      <w:r>
        <w:rPr>
          <w:i/>
          <w:sz w:val="18"/>
        </w:rPr>
        <w:t>Figure 10. Every implicit-sleeper detector tested, attack detection against legitimate ungrounded rules flagged (SA-3). B12, the sleeper guard and deberta sit at the origin. Source: defence_v2/sleeper_v2_eval.json, defence_v3/sleeper_v3_selection.json.</w:t>
      </w:r>
    </w:p>
    <w:p>
      <w:pPr>
        <w:pStyle w:val="Heading1"/>
      </w:pPr>
      <w:r>
        <w:t>20. Defence Programme v4 (2026-10-14): Payload Routing and Verify-on-Activation</w:t>
      </w:r>
    </w:p>
    <w:p>
      <w:pPr>
        <w:spacing w:after="120"/>
      </w:pPr>
      <w:r>
        <w:t>Pre-registered in docs/phase17/PREREGISTRATION_DEFENCE_V4_2026-10-14.md, on new held-out data: HO7 propagation chains (owner 8) and a new sleeper corpus SA-4 (owners 1, 3, 9).</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Set</w:t>
            </w:r>
          </w:p>
        </w:tc>
        <w:tc>
          <w:tcPr>
            <w:tcW w:type="dxa" w:w="1440"/>
          </w:tcPr>
          <w:p>
            <w:pPr>
              <w:spacing w:after="40"/>
            </w:pPr>
            <w:r>
              <w:rPr>
                <w:b/>
                <w:sz w:val="18"/>
              </w:rPr>
              <w:t>Frozen guard</w:t>
            </w:r>
          </w:p>
        </w:tc>
        <w:tc>
          <w:tcPr>
            <w:tcW w:type="dxa" w:w="1440"/>
          </w:tcPr>
          <w:p>
            <w:pPr>
              <w:spacing w:after="40"/>
            </w:pPr>
            <w:r>
              <w:rPr>
                <w:b/>
                <w:sz w:val="18"/>
              </w:rPr>
              <w:t>RCL</w:t>
            </w:r>
          </w:p>
        </w:tc>
        <w:tc>
          <w:tcPr>
            <w:tcW w:type="dxa" w:w="1440"/>
          </w:tcPr>
          <w:p>
            <w:pPr>
              <w:spacing w:after="40"/>
            </w:pPr>
            <w:r>
              <w:rPr>
                <w:b/>
                <w:sz w:val="18"/>
              </w:rPr>
              <w:t>CTC</w:t>
            </w:r>
          </w:p>
        </w:tc>
        <w:tc>
          <w:tcPr>
            <w:tcW w:type="dxa" w:w="1440"/>
          </w:tcPr>
          <w:p>
            <w:pPr>
              <w:spacing w:after="40"/>
            </w:pPr>
            <w:r>
              <w:rPr>
                <w:b/>
                <w:sz w:val="18"/>
              </w:rPr>
              <w:t>PRC</w:t>
            </w:r>
          </w:p>
        </w:tc>
        <w:tc>
          <w:tcPr>
            <w:tcW w:type="dxa" w:w="1440"/>
          </w:tcPr>
          <w:p>
            <w:pPr>
              <w:spacing w:after="40"/>
            </w:pPr>
            <w:r>
              <w:rPr>
                <w:b/>
                <w:sz w:val="18"/>
              </w:rPr>
              <w:t>Accepted</w:t>
            </w:r>
          </w:p>
        </w:tc>
      </w:tr>
      <w:tr>
        <w:tc>
          <w:tcPr>
            <w:tcW w:type="dxa" w:w="1440"/>
          </w:tcPr>
          <w:p>
            <w:pPr>
              <w:spacing w:after="40"/>
            </w:pPr>
            <w:r>
              <w:rPr>
                <w:sz w:val="18"/>
              </w:rPr>
              <w:t>HO7 (held-out)</w:t>
            </w:r>
          </w:p>
        </w:tc>
        <w:tc>
          <w:tcPr>
            <w:tcW w:type="dxa" w:w="1440"/>
          </w:tcPr>
          <w:p>
            <w:pPr>
              <w:spacing w:after="40"/>
            </w:pPr>
            <w:r>
              <w:rPr>
                <w:sz w:val="18"/>
              </w:rPr>
              <w:t>2/10</w:t>
            </w:r>
          </w:p>
        </w:tc>
        <w:tc>
          <w:tcPr>
            <w:tcW w:type="dxa" w:w="1440"/>
          </w:tcPr>
          <w:p>
            <w:pPr>
              <w:spacing w:after="40"/>
            </w:pPr>
            <w:r>
              <w:rPr>
                <w:sz w:val="18"/>
              </w:rPr>
              <w:t>6/10</w:t>
            </w:r>
          </w:p>
        </w:tc>
        <w:tc>
          <w:tcPr>
            <w:tcW w:type="dxa" w:w="1440"/>
          </w:tcPr>
          <w:p>
            <w:pPr>
              <w:spacing w:after="40"/>
            </w:pPr>
            <w:r>
              <w:rPr>
                <w:sz w:val="18"/>
              </w:rPr>
              <w:t>7/10</w:t>
            </w:r>
          </w:p>
        </w:tc>
        <w:tc>
          <w:tcPr>
            <w:tcW w:type="dxa" w:w="1440"/>
          </w:tcPr>
          <w:p>
            <w:pPr>
              <w:spacing w:after="40"/>
            </w:pPr>
            <w:r>
              <w:rPr>
                <w:sz w:val="18"/>
              </w:rPr>
              <w:t>8/10</w:t>
            </w:r>
          </w:p>
        </w:tc>
        <w:tc>
          <w:tcPr>
            <w:tcW w:type="dxa" w:w="1440"/>
          </w:tcPr>
          <w:p>
            <w:pPr>
              <w:spacing w:after="40"/>
            </w:pPr>
            <w:r>
              <w:rPr>
                <w:sz w:val="18"/>
              </w:rPr>
              <w:t>False</w:t>
            </w:r>
          </w:p>
        </w:tc>
      </w:tr>
      <w:tr>
        <w:tc>
          <w:tcPr>
            <w:tcW w:type="dxa" w:w="1440"/>
          </w:tcPr>
          <w:p>
            <w:pPr>
              <w:spacing w:after="40"/>
            </w:pPr>
            <w:r>
              <w:rPr>
                <w:sz w:val="18"/>
              </w:rPr>
              <w:t>HO8 (repeated)</w:t>
            </w:r>
          </w:p>
        </w:tc>
        <w:tc>
          <w:tcPr>
            <w:tcW w:type="dxa" w:w="1440"/>
          </w:tcPr>
          <w:p>
            <w:pPr>
              <w:spacing w:after="40"/>
            </w:pPr>
            <w:r>
              <w:rPr>
                <w:sz w:val="18"/>
              </w:rPr>
              <w:t>13/35</w:t>
            </w:r>
          </w:p>
        </w:tc>
        <w:tc>
          <w:tcPr>
            <w:tcW w:type="dxa" w:w="1440"/>
          </w:tcPr>
          <w:p>
            <w:pPr>
              <w:spacing w:after="40"/>
            </w:pPr>
            <w:r>
              <w:rPr>
                <w:sz w:val="18"/>
              </w:rPr>
              <w:t>20/35</w:t>
            </w:r>
          </w:p>
        </w:tc>
        <w:tc>
          <w:tcPr>
            <w:tcW w:type="dxa" w:w="1440"/>
          </w:tcPr>
          <w:p>
            <w:pPr>
              <w:spacing w:after="40"/>
            </w:pPr>
            <w:r>
              <w:rPr>
                <w:sz w:val="18"/>
              </w:rPr>
              <w:t>18/35</w:t>
            </w:r>
          </w:p>
        </w:tc>
        <w:tc>
          <w:tcPr>
            <w:tcW w:type="dxa" w:w="1440"/>
          </w:tcPr>
          <w:p>
            <w:pPr>
              <w:spacing w:after="40"/>
            </w:pPr>
            <w:r>
              <w:rPr>
                <w:sz w:val="18"/>
              </w:rPr>
              <w:t>26/35</w:t>
            </w:r>
          </w:p>
        </w:tc>
        <w:tc>
          <w:tcPr>
            <w:tcW w:type="dxa" w:w="1440"/>
          </w:tcPr>
          <w:p>
            <w:pPr>
              <w:spacing w:after="40"/>
            </w:pPr>
            <w:r>
              <w:rPr>
                <w:sz w:val="18"/>
              </w:rPr>
              <w:t>True</w:t>
            </w:r>
          </w:p>
        </w:tc>
      </w:tr>
      <w:tr>
        <w:tc>
          <w:tcPr>
            <w:tcW w:type="dxa" w:w="1440"/>
          </w:tcPr>
          <w:p>
            <w:pPr>
              <w:spacing w:after="40"/>
            </w:pPr>
            <w:r>
              <w:rPr>
                <w:sz w:val="18"/>
              </w:rPr>
              <w:t>HO4 (repeated)</w:t>
            </w:r>
          </w:p>
        </w:tc>
        <w:tc>
          <w:tcPr>
            <w:tcW w:type="dxa" w:w="1440"/>
          </w:tcPr>
          <w:p>
            <w:pPr>
              <w:spacing w:after="40"/>
            </w:pPr>
            <w:r>
              <w:rPr>
                <w:sz w:val="18"/>
              </w:rPr>
              <w:t>5/18</w:t>
            </w:r>
          </w:p>
        </w:tc>
        <w:tc>
          <w:tcPr>
            <w:tcW w:type="dxa" w:w="1440"/>
          </w:tcPr>
          <w:p>
            <w:pPr>
              <w:spacing w:after="40"/>
            </w:pPr>
            <w:r>
              <w:rPr>
                <w:sz w:val="18"/>
              </w:rPr>
              <w:t>15/18</w:t>
            </w:r>
          </w:p>
        </w:tc>
        <w:tc>
          <w:tcPr>
            <w:tcW w:type="dxa" w:w="1440"/>
          </w:tcPr>
          <w:p>
            <w:pPr>
              <w:spacing w:after="40"/>
            </w:pPr>
            <w:r>
              <w:rPr>
                <w:sz w:val="18"/>
              </w:rPr>
              <w:t>7/18</w:t>
            </w:r>
          </w:p>
        </w:tc>
        <w:tc>
          <w:tcPr>
            <w:tcW w:type="dxa" w:w="1440"/>
          </w:tcPr>
          <w:p>
            <w:pPr>
              <w:spacing w:after="40"/>
            </w:pPr>
            <w:r>
              <w:rPr>
                <w:sz w:val="18"/>
              </w:rPr>
              <w:t>14/18</w:t>
            </w:r>
          </w:p>
        </w:tc>
        <w:tc>
          <w:tcPr>
            <w:tcW w:type="dxa" w:w="1440"/>
          </w:tcPr>
          <w:p>
            <w:pPr>
              <w:spacing w:after="40"/>
            </w:pPr>
            <w:r>
              <w:rPr>
                <w:sz w:val="18"/>
              </w:rPr>
              <w:t>False</w:t>
            </w:r>
          </w:p>
        </w:tc>
      </w:tr>
    </w:tbl>
    <w:p>
      <w:pPr>
        <w:spacing w:after="200"/>
      </w:pPr>
      <w:r>
        <w:rPr>
          <w:i/>
          <w:sz w:val="18"/>
        </w:rPr>
        <w:t>Table 20A. Payload-carrying descendants withheld at generation 4. PRC routes each root to CTC (instruction) or RCL (factual). On the fresh HO7 set the generation-4 test against the frozen guard missed significance (p = 0.07) with only 10 carrying descendants left. Source: defence_v4/prc_eval.json.</w:t>
      </w:r>
    </w:p>
    <w:p>
      <w:r>
        <w:drawing>
          <wp:inline xmlns:a="http://schemas.openxmlformats.org/drawingml/2006/main" xmlns:pic="http://schemas.openxmlformats.org/drawingml/2006/picture">
            <wp:extent cx="5760720" cy="1843430"/>
            <wp:docPr id="11" name="Picture 11"/>
            <wp:cNvGraphicFramePr>
              <a:graphicFrameLocks noChangeAspect="1"/>
            </wp:cNvGraphicFramePr>
            <a:graphic>
              <a:graphicData uri="http://schemas.openxmlformats.org/drawingml/2006/picture">
                <pic:pic>
                  <pic:nvPicPr>
                    <pic:cNvPr id="0" name="F4_containment_generations.png"/>
                    <pic:cNvPicPr/>
                  </pic:nvPicPr>
                  <pic:blipFill>
                    <a:blip r:embed="rId19"/>
                    <a:stretch>
                      <a:fillRect/>
                    </a:stretch>
                  </pic:blipFill>
                  <pic:spPr>
                    <a:xfrm>
                      <a:off x="0" y="0"/>
                      <a:ext cx="5760720" cy="1843430"/>
                    </a:xfrm>
                    <a:prstGeom prst="rect"/>
                  </pic:spPr>
                </pic:pic>
              </a:graphicData>
            </a:graphic>
          </wp:inline>
        </w:drawing>
      </w:r>
    </w:p>
    <w:p>
      <w:pPr>
        <w:spacing w:after="200"/>
      </w:pPr>
      <w:r>
        <w:rPr>
          <w:i/>
          <w:sz w:val="18"/>
        </w:rPr>
        <w:t>Figure 11. Containment across consolidation generations on three held-out chain sets. Unflagged-benign collateral is 0/40 for every lineage arm. Source: defence_v4/prc_eval.json.</w:t>
      </w:r>
    </w:p>
    <w:p>
      <w:pPr>
        <w:spacing w:after="120"/>
      </w:pPr>
      <w:r>
        <w:t>Verify-on-activation keeps flagged memories but frames them as unverified. On SA-4 raw memories attack unconfirmed activation fell from 15/45 to 2/45 while 33/45 legitimate ungrounded rules stayed usable (exclusion: 9/45); after Mem0 rewriting there was no effect (8/45 -&gt; 7/45). Not accepted.</w:t>
      </w:r>
    </w:p>
    <w:p>
      <w:r>
        <w:drawing>
          <wp:inline xmlns:a="http://schemas.openxmlformats.org/drawingml/2006/main" xmlns:pic="http://schemas.openxmlformats.org/drawingml/2006/picture">
            <wp:extent cx="5760720" cy="1958645"/>
            <wp:docPr id="12" name="Picture 12"/>
            <wp:cNvGraphicFramePr>
              <a:graphicFrameLocks noChangeAspect="1"/>
            </wp:cNvGraphicFramePr>
            <a:graphic>
              <a:graphicData uri="http://schemas.openxmlformats.org/drawingml/2006/picture">
                <pic:pic>
                  <pic:nvPicPr>
                    <pic:cNvPr id="0" name="F6_verify_on_activation.png"/>
                    <pic:cNvPicPr/>
                  </pic:nvPicPr>
                  <pic:blipFill>
                    <a:blip r:embed="rId20"/>
                    <a:stretch>
                      <a:fillRect/>
                    </a:stretch>
                  </pic:blipFill>
                  <pic:spPr>
                    <a:xfrm>
                      <a:off x="0" y="0"/>
                      <a:ext cx="5760720" cy="1958645"/>
                    </a:xfrm>
                    <a:prstGeom prst="rect"/>
                  </pic:spPr>
                </pic:pic>
              </a:graphicData>
            </a:graphic>
          </wp:inline>
        </w:drawing>
      </w:r>
    </w:p>
    <w:p>
      <w:pPr>
        <w:spacing w:after="200"/>
      </w:pPr>
      <w:r>
        <w:rPr>
          <w:i/>
          <w:sz w:val="18"/>
        </w:rPr>
        <w:t>Figure 12. Verify-on-activation: works on raw memories (SA-4) and does not survive Mem0 rewriting reliably (SA-5). Source: defence_v4/voa_eval.json, defence_v5/af_eval.json.</w:t>
      </w:r>
    </w:p>
    <w:p>
      <w:pPr>
        <w:pStyle w:val="Heading1"/>
      </w:pPr>
      <w:r>
        <w:t>21. Defence Programme v5 (2026-10-14): Authorship Provenance and Lineage-Free Containment</w:t>
      </w:r>
    </w:p>
    <w:p>
      <w:pPr>
        <w:spacing w:after="120"/>
      </w:pPr>
      <w:r>
        <w:t>Pre-registered in docs/phase17/PREREGISTRATION_DEFENCE_V5_2026-10-14.md with addenda A and B written before their computations.</w:t>
      </w:r>
    </w:p>
    <w:p>
      <w:pPr>
        <w:spacing w:after="120"/>
      </w:pPr>
      <w:r>
        <w:t>A provenance-recording wrapper around Mem0 kept the correct source on 137/137 derived memories. Mem0's own UPDATE path is last-writer-wins on metadata: a user-channel update relabels a document-planted memory as the user's (demonstrated at code level); the wrapper keeps both sources. Mem0's extractor produced no such update in 225 ingestions, so the real-world frequency is unmeasured. The selected attribution frame (AF2) reduced attack unconfirmed activation on Mem0-stored text from 11/45 to 6/45 (not significant; not accepted); legitimate rules arriving on the user channel were never framed (22/39 usable under every arm).</w:t>
      </w:r>
    </w:p>
    <w:p>
      <w:pPr>
        <w:spacing w:after="120"/>
      </w:pPr>
      <w:r>
        <w:t>Containment without lineage: matching new memories against a registry of flagged claims caught the payload but excluded 109/240, 125/169 and 226/291 of the owners' real benign memories; thresholds re-selected on dev (none admissible) could not reach the 3% limit. Write-time taint propagation, in which the consolidator taints its output from its own inputs, needs no stored lineage: it equals RCL-with-lineage item for item (HO7 110/110, HO8 158/158, HO4 119/119) with zero unflagged collateral, and was accepted. Lineage deleted after writing remains unsolved.</w:t>
      </w:r>
    </w:p>
    <w:p>
      <w:pPr>
        <w:pStyle w:val="Heading1"/>
      </w:pPr>
      <w:r>
        <w:t>22. Defence Architecture and Operational Gap Closure</w:t>
      </w:r>
    </w:p>
    <w:p>
      <w:r>
        <w:drawing>
          <wp:inline xmlns:a="http://schemas.openxmlformats.org/drawingml/2006/main" xmlns:pic="http://schemas.openxmlformats.org/drawingml/2006/picture">
            <wp:extent cx="5760720" cy="2073859"/>
            <wp:docPr id="13" name="Picture 13"/>
            <wp:cNvGraphicFramePr>
              <a:graphicFrameLocks noChangeAspect="1"/>
            </wp:cNvGraphicFramePr>
            <a:graphic>
              <a:graphicData uri="http://schemas.openxmlformats.org/drawingml/2006/picture">
                <pic:pic>
                  <pic:nvPicPr>
                    <pic:cNvPr id="0" name="F8_architecture.png"/>
                    <pic:cNvPicPr/>
                  </pic:nvPicPr>
                  <pic:blipFill>
                    <a:blip r:embed="rId21"/>
                    <a:stretch>
                      <a:fillRect/>
                    </a:stretch>
                  </pic:blipFill>
                  <pic:spPr>
                    <a:xfrm>
                      <a:off x="0" y="0"/>
                      <a:ext cx="5760720" cy="2073859"/>
                    </a:xfrm>
                    <a:prstGeom prst="rect"/>
                  </pic:spPr>
                </pic:pic>
              </a:graphicData>
            </a:graphic>
          </wp:inline>
        </w:drawing>
      </w:r>
    </w:p>
    <w:p>
      <w:pPr>
        <w:spacing w:after="200"/>
      </w:pPr>
      <w:r>
        <w:rPr>
          <w:i/>
          <w:sz w:val="18"/>
        </w:rPr>
        <w:t>Figure 13. The evaluated defence architecture, stage by stage, with each component's status.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Capability (* = critical)</w:t>
            </w:r>
          </w:p>
        </w:tc>
        <w:tc>
          <w:tcPr>
            <w:tcW w:type="dxa" w:w="2160"/>
          </w:tcPr>
          <w:p>
            <w:pPr>
              <w:spacing w:after="40"/>
            </w:pPr>
            <w:r>
              <w:rPr>
                <w:b/>
                <w:sz w:val="18"/>
              </w:rPr>
              <w:t>Weight</w:t>
            </w:r>
          </w:p>
        </w:tc>
        <w:tc>
          <w:tcPr>
            <w:tcW w:type="dxa" w:w="2160"/>
          </w:tcPr>
          <w:p>
            <w:pPr>
              <w:spacing w:after="40"/>
            </w:pPr>
            <w:r>
              <w:rPr>
                <w:b/>
                <w:sz w:val="18"/>
              </w:rPr>
              <w:t>Evidence score</w:t>
            </w:r>
          </w:p>
        </w:tc>
      </w:tr>
      <w:tr>
        <w:tc>
          <w:tcPr>
            <w:tcW w:type="dxa" w:w="2160"/>
          </w:tcPr>
          <w:p>
            <w:pPr>
              <w:spacing w:after="40"/>
            </w:pPr>
            <w:r>
              <w:rPr>
                <w:sz w:val="18"/>
              </w:rPr>
              <w:t>Gap 1: provenance and governance</w:t>
            </w:r>
          </w:p>
        </w:tc>
        <w:tc>
          <w:tcPr>
            <w:tcW w:type="dxa" w:w="2160"/>
          </w:tcPr>
          <w:p>
            <w:pPr>
              <w:spacing w:after="40"/>
            </w:pPr>
            <w:r>
              <w:rPr>
                <w:sz w:val="18"/>
              </w:rPr>
              <w:t>1.1 transformation-aware detection*</w:t>
            </w:r>
          </w:p>
        </w:tc>
        <w:tc>
          <w:tcPr>
            <w:tcW w:type="dxa" w:w="2160"/>
          </w:tcPr>
          <w:p>
            <w:pPr>
              <w:spacing w:after="40"/>
            </w:pPr>
            <w:r>
              <w:rPr>
                <w:sz w:val="18"/>
              </w:rPr>
              <w:t>0.25</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1.2 wrong lineage safe*</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Gap 1: provenance and governance</w:t>
            </w:r>
          </w:p>
        </w:tc>
        <w:tc>
          <w:tcPr>
            <w:tcW w:type="dxa" w:w="2160"/>
          </w:tcPr>
          <w:p>
            <w:pPr>
              <w:spacing w:after="40"/>
            </w:pPr>
            <w:r>
              <w:rPr>
                <w:sz w:val="18"/>
              </w:rPr>
              <w:t>1.3 benign utility incl. ungrounded*</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1.4 owner generalisation</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1: provenance and governance</w:t>
            </w:r>
          </w:p>
        </w:tc>
        <w:tc>
          <w:tcPr>
            <w:tcW w:type="dxa" w:w="2160"/>
          </w:tcPr>
          <w:p>
            <w:pPr>
              <w:spacing w:after="40"/>
            </w:pPr>
            <w:r>
              <w:rPr>
                <w:sz w:val="18"/>
              </w:rPr>
              <w:t>1.5 end-to-end prevention</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59%</w:t>
            </w:r>
          </w:p>
        </w:tc>
      </w:tr>
      <w:tr>
        <w:tc>
          <w:tcPr>
            <w:tcW w:type="dxa" w:w="2160"/>
          </w:tcPr>
          <w:p>
            <w:pPr>
              <w:spacing w:after="40"/>
            </w:pPr>
            <w:r>
              <w:rPr>
                <w:sz w:val="18"/>
              </w:rPr>
              <w:t>Gap 2: self-propagation</w:t>
            </w:r>
          </w:p>
        </w:tc>
        <w:tc>
          <w:tcPr>
            <w:tcW w:type="dxa" w:w="2160"/>
          </w:tcPr>
          <w:p>
            <w:pPr>
              <w:spacing w:after="40"/>
            </w:pPr>
            <w:r>
              <w:rPr>
                <w:sz w:val="18"/>
              </w:rPr>
              <w:t>2.1 claim tracking</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2.2 instruction payloads gen 4*</w:t>
            </w:r>
          </w:p>
        </w:tc>
        <w:tc>
          <w:tcPr>
            <w:tcW w:type="dxa" w:w="2160"/>
          </w:tcPr>
          <w:p>
            <w:pPr>
              <w:spacing w:after="40"/>
            </w:pPr>
            <w:r>
              <w:rPr>
                <w:sz w:val="18"/>
              </w:rPr>
              <w:t>0.25</w:t>
            </w:r>
          </w:p>
        </w:tc>
        <w:tc>
          <w:tcPr>
            <w:tcW w:type="dxa" w:w="2160"/>
          </w:tcPr>
          <w:p>
            <w:pPr>
              <w:spacing w:after="40"/>
            </w:pPr>
            <w:r>
              <w:rPr>
                <w:sz w:val="18"/>
              </w:rPr>
              <w:t>0.50</w:t>
            </w:r>
          </w:p>
        </w:tc>
      </w:tr>
      <w:tr>
        <w:tc>
          <w:tcPr>
            <w:tcW w:type="dxa" w:w="2160"/>
          </w:tcPr>
          <w:p>
            <w:pPr>
              <w:spacing w:after="40"/>
            </w:pPr>
            <w:r>
              <w:rPr>
                <w:sz w:val="18"/>
              </w:rPr>
              <w:t>Gap 2: self-propagation</w:t>
            </w:r>
          </w:p>
        </w:tc>
        <w:tc>
          <w:tcPr>
            <w:tcW w:type="dxa" w:w="2160"/>
          </w:tcPr>
          <w:p>
            <w:pPr>
              <w:spacing w:after="40"/>
            </w:pPr>
            <w:r>
              <w:rPr>
                <w:sz w:val="18"/>
              </w:rPr>
              <w:t>2.3 factual payloads gen 4</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2.4 influence reduced*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2.5 benign preserved, recovery</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2.6 lineage loss</w:t>
            </w:r>
          </w:p>
        </w:tc>
        <w:tc>
          <w:tcPr>
            <w:tcW w:type="dxa" w:w="2160"/>
          </w:tcPr>
          <w:p>
            <w:pPr>
              <w:spacing w:after="40"/>
            </w:pPr>
            <w:r>
              <w:rPr>
                <w:sz w:val="18"/>
              </w:rPr>
              <w:t>0.15</w:t>
            </w:r>
          </w:p>
        </w:tc>
        <w:tc>
          <w:tcPr>
            <w:tcW w:type="dxa" w:w="2160"/>
          </w:tcPr>
          <w:p>
            <w:pPr>
              <w:spacing w:after="40"/>
            </w:pPr>
            <w:r>
              <w:rPr>
                <w:sz w:val="18"/>
              </w:rPr>
              <w:t>0.50</w:t>
            </w:r>
          </w:p>
        </w:tc>
      </w:tr>
      <w:tr>
        <w:tc>
          <w:tcPr>
            <w:tcW w:type="dxa" w:w="2160"/>
          </w:tcPr>
          <w:p>
            <w:pPr>
              <w:spacing w:after="40"/>
            </w:pPr>
            <w:r>
              <w:rPr>
                <w:sz w:val="18"/>
              </w:rPr>
              <w:t>Gap 2: self-propagation</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65%</w:t>
            </w:r>
          </w:p>
        </w:tc>
      </w:tr>
      <w:tr>
        <w:tc>
          <w:tcPr>
            <w:tcW w:type="dxa" w:w="2160"/>
          </w:tcPr>
          <w:p>
            <w:pPr>
              <w:spacing w:after="40"/>
            </w:pPr>
            <w:r>
              <w:rPr>
                <w:sz w:val="18"/>
              </w:rPr>
              <w:t>Gap 3: implicit sleepers</w:t>
            </w:r>
          </w:p>
        </w:tc>
        <w:tc>
          <w:tcPr>
            <w:tcW w:type="dxa" w:w="2160"/>
          </w:tcPr>
          <w:p>
            <w:pPr>
              <w:spacing w:after="40"/>
            </w:pPr>
            <w:r>
              <w:rPr>
                <w:sz w:val="18"/>
              </w:rPr>
              <w:t>3.1 dormancy/activation measured</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3: implicit sleepers</w:t>
            </w:r>
          </w:p>
        </w:tc>
        <w:tc>
          <w:tcPr>
            <w:tcW w:type="dxa" w:w="2160"/>
          </w:tcPr>
          <w:p>
            <w:pPr>
              <w:spacing w:after="40"/>
            </w:pPr>
            <w:r>
              <w:rPr>
                <w:sz w:val="18"/>
              </w:rPr>
              <w:t>3.2 detection after transformation*</w:t>
            </w:r>
          </w:p>
        </w:tc>
        <w:tc>
          <w:tcPr>
            <w:tcW w:type="dxa" w:w="2160"/>
          </w:tcPr>
          <w:p>
            <w:pPr>
              <w:spacing w:after="40"/>
            </w:pPr>
            <w:r>
              <w:rPr>
                <w:sz w:val="18"/>
              </w:rPr>
              <w:t>0.30</w:t>
            </w:r>
          </w:p>
        </w:tc>
        <w:tc>
          <w:tcPr>
            <w:tcW w:type="dxa" w:w="2160"/>
          </w:tcPr>
          <w:p>
            <w:pPr>
              <w:spacing w:after="40"/>
            </w:pPr>
            <w:r>
              <w:rPr>
                <w:sz w:val="18"/>
              </w:rPr>
              <w:t>0.00</w:t>
            </w:r>
          </w:p>
        </w:tc>
      </w:tr>
      <w:tr>
        <w:tc>
          <w:tcPr>
            <w:tcW w:type="dxa" w:w="2160"/>
          </w:tcPr>
          <w:p>
            <w:pPr>
              <w:spacing w:after="40"/>
            </w:pPr>
            <w:r>
              <w:rPr>
                <w:sz w:val="18"/>
              </w:rPr>
              <w:t>Gap 3: implicit sleepers</w:t>
            </w:r>
          </w:p>
        </w:tc>
        <w:tc>
          <w:tcPr>
            <w:tcW w:type="dxa" w:w="2160"/>
          </w:tcPr>
          <w:p>
            <w:pPr>
              <w:spacing w:after="40"/>
            </w:pPr>
            <w:r>
              <w:rPr>
                <w:sz w:val="18"/>
              </w:rPr>
              <w:t>3.3 benign preserved while detecting*</w:t>
            </w:r>
          </w:p>
        </w:tc>
        <w:tc>
          <w:tcPr>
            <w:tcW w:type="dxa" w:w="2160"/>
          </w:tcPr>
          <w:p>
            <w:pPr>
              <w:spacing w:after="40"/>
            </w:pPr>
            <w:r>
              <w:rPr>
                <w:sz w:val="18"/>
              </w:rPr>
              <w:t>0.25</w:t>
            </w:r>
          </w:p>
        </w:tc>
        <w:tc>
          <w:tcPr>
            <w:tcW w:type="dxa" w:w="2160"/>
          </w:tcPr>
          <w:p>
            <w:pPr>
              <w:spacing w:after="40"/>
            </w:pPr>
            <w:r>
              <w:rPr>
                <w:sz w:val="18"/>
              </w:rPr>
              <w:t>0.00</w:t>
            </w:r>
          </w:p>
        </w:tc>
      </w:tr>
      <w:tr>
        <w:tc>
          <w:tcPr>
            <w:tcW w:type="dxa" w:w="2160"/>
          </w:tcPr>
          <w:p>
            <w:pPr>
              <w:spacing w:after="40"/>
            </w:pPr>
            <w:r>
              <w:rPr>
                <w:sz w:val="18"/>
              </w:rPr>
              <w:t>Gap 3: implicit sleepers</w:t>
            </w:r>
          </w:p>
        </w:tc>
        <w:tc>
          <w:tcPr>
            <w:tcW w:type="dxa" w:w="2160"/>
          </w:tcPr>
          <w:p>
            <w:pPr>
              <w:spacing w:after="40"/>
            </w:pPr>
            <w:r>
              <w:rPr>
                <w:sz w:val="18"/>
              </w:rPr>
              <w:t>3.4 activation prevented</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3: implicit sleepers</w:t>
            </w:r>
          </w:p>
        </w:tc>
        <w:tc>
          <w:tcPr>
            <w:tcW w:type="dxa" w:w="2160"/>
          </w:tcPr>
          <w:p>
            <w:pPr>
              <w:spacing w:after="40"/>
            </w:pPr>
            <w:r>
              <w:rPr>
                <w:sz w:val="18"/>
              </w:rPr>
              <w:t>3.5 explicit sleepers after transformation</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Gap 3: implicit sleepers</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29%</w:t>
            </w:r>
          </w:p>
        </w:tc>
      </w:tr>
    </w:tbl>
    <w:p>
      <w:pPr>
        <w:spacing w:after="200"/>
      </w:pPr>
      <w:r>
        <w:rPr>
          <w:i/>
          <w:sz w:val="18"/>
        </w:rPr>
        <w:t>Table 22A. Operational closure per gap from the weighted evidence-strength rubric fixed before the final programmes (FINAL_DEFENCE_BASELINE_AUDIT.md section 3). Scores measure evidence strength, not accuracy; no gap reaches the 75% target.</w:t>
      </w:r>
    </w:p>
    <w:p>
      <w:r>
        <w:drawing>
          <wp:inline xmlns:a="http://schemas.openxmlformats.org/drawingml/2006/main" xmlns:pic="http://schemas.openxmlformats.org/drawingml/2006/picture">
            <wp:extent cx="5760720" cy="2468880"/>
            <wp:docPr id="14" name="Picture 14"/>
            <wp:cNvGraphicFramePr>
              <a:graphicFrameLocks noChangeAspect="1"/>
            </wp:cNvGraphicFramePr>
            <a:graphic>
              <a:graphicData uri="http://schemas.openxmlformats.org/drawingml/2006/picture">
                <pic:pic>
                  <pic:nvPicPr>
                    <pic:cNvPr id="0" name="F7_closure.png"/>
                    <pic:cNvPicPr/>
                  </pic:nvPicPr>
                  <pic:blipFill>
                    <a:blip r:embed="rId22"/>
                    <a:stretch>
                      <a:fillRect/>
                    </a:stretch>
                  </pic:blipFill>
                  <pic:spPr>
                    <a:xfrm>
                      <a:off x="0" y="0"/>
                      <a:ext cx="5760720" cy="2468880"/>
                    </a:xfrm>
                    <a:prstGeom prst="rect"/>
                  </pic:spPr>
                </pic:pic>
              </a:graphicData>
            </a:graphic>
          </wp:inline>
        </w:drawing>
      </w:r>
    </w:p>
    <w:p>
      <w:pPr>
        <w:spacing w:after="200"/>
      </w:pPr>
      <w:r>
        <w:rPr>
          <w:i/>
          <w:sz w:val="18"/>
        </w:rPr>
        <w:t>Figure 14. Operational closure per research gap.</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Cluster bootstrap (owners, populations, families, root chains)</w:t>
            </w:r>
          </w:p>
        </w:tc>
        <w:tc>
          <w:tcPr>
            <w:tcW w:type="dxa" w:w="2880"/>
          </w:tcPr>
          <w:p>
            <w:pPr>
              <w:spacing w:after="40"/>
            </w:pPr>
            <w:r>
              <w:rPr>
                <w:sz w:val="18"/>
              </w:rPr>
              <w:t>resample clusters g with replacement B = 10,000 times (seed 2026);  rate* = Σ_g k_g / Σ_g n_g per resample;  CI = [2.5th, 97.5th] percentile of rate* (paired differences: per-resample difference of pooled rates)</w:t>
            </w:r>
          </w:p>
        </w:tc>
        <w:tc>
          <w:tcPr>
            <w:tcW w:type="dxa" w:w="2880"/>
          </w:tcPr>
          <w:p>
            <w:pPr>
              <w:spacing w:after="40"/>
            </w:pPr>
            <w:r>
              <w:rPr>
                <w:sz w:val="18"/>
              </w:rPr>
              <w:t>phase17/remediation/b13_owner_loo.py: _boot_pooled;  validity_final.py: _paired</w:t>
            </w:r>
          </w:p>
        </w:tc>
      </w:tr>
      <w:tr>
        <w:tc>
          <w:tcPr>
            <w:tcW w:type="dxa" w:w="2880"/>
          </w:tcPr>
          <w:p>
            <w:pPr>
              <w:spacing w:after="40"/>
            </w:pPr>
            <w:r>
              <w:rPr>
                <w:sz w:val="18"/>
              </w:rPr>
              <w:t>VALIDITY</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Memory-attributable effect (paired)</w:t>
            </w:r>
          </w:p>
        </w:tc>
        <w:tc>
          <w:tcPr>
            <w:tcW w:type="dxa" w:w="2880"/>
          </w:tcPr>
          <w:p>
            <w:pPr>
              <w:spacing w:after="40"/>
            </w:pPr>
            <w:r>
              <w:rPr>
                <w:sz w:val="18"/>
              </w:rPr>
              <w:t>net = P(comply | poisoned store) − P(comply | clean store) = (b − c)/n over the same items and task;  context = P(clean) − P(empty store);  exact McNemar on (b, c)</w:t>
            </w:r>
          </w:p>
        </w:tc>
        <w:tc>
          <w:tcPr>
            <w:tcW w:type="dxa" w:w="2880"/>
          </w:tcPr>
          <w:p>
            <w:pPr>
              <w:spacing w:after="40"/>
            </w:pPr>
            <w:r>
              <w:rPr>
                <w:sz w:val="18"/>
              </w:rPr>
              <w:t>phase17/remediation/validity_final.py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B13 leave-one-owner-out thresholds</w:t>
            </w:r>
          </w:p>
        </w:tc>
        <w:tc>
          <w:tcPr>
            <w:tcW w:type="dxa" w:w="2880"/>
          </w:tcPr>
          <w:p>
            <w:pPr>
              <w:spacing w:after="40"/>
            </w:pPr>
            <w:r>
              <w:rPr>
                <w:sz w:val="18"/>
              </w:rPr>
              <w:t>for held-out owner o:  τx = q_{0.4873%}, τf = q_{2.0468%} of support(observations of the other 9 owners);  support = max NLI entailment from the owner's top-20 turns (+ top-3 concatenation)</w:t>
            </w:r>
          </w:p>
        </w:tc>
        <w:tc>
          <w:tcPr>
            <w:tcW w:type="dxa" w:w="2880"/>
          </w:tcPr>
          <w:p>
            <w:pPr>
              <w:spacing w:after="40"/>
            </w:pPr>
            <w:r>
              <w:rPr>
                <w:sz w:val="18"/>
              </w:rPr>
              <w:t>phase17/remediation/b13_owner_loo.py</w:t>
            </w:r>
          </w:p>
        </w:tc>
      </w:tr>
      <w:tr>
        <w:tc>
          <w:tcPr>
            <w:tcW w:type="dxa" w:w="2880"/>
          </w:tcPr>
          <w:p>
            <w:pPr>
              <w:spacing w:after="40"/>
            </w:pPr>
            <w:r>
              <w:rPr>
                <w:sz w:val="18"/>
              </w:rPr>
              <w:t>Verified payload-only lineage (VPL)</w:t>
            </w:r>
          </w:p>
        </w:tc>
        <w:tc>
          <w:tcPr>
            <w:tcW w:type="dxa" w:w="2880"/>
          </w:tcPr>
          <w:p>
            <w:pPr>
              <w:spacing w:after="40"/>
            </w:pPr>
            <w:r>
              <w:rPr>
                <w:sz w:val="18"/>
              </w:rPr>
              <w:t>exclude(m) = B13(m) ∨ [B12(raw source) ∧ sem(m, raw) ≥ τ_link];  τ_link = 5th percentile of true-link similarity on SA-3 dev (0.490);  corroboration is never inherited</w:t>
            </w:r>
          </w:p>
        </w:tc>
        <w:tc>
          <w:tcPr>
            <w:tcW w:type="dxa" w:w="2880"/>
          </w:tcPr>
          <w:p>
            <w:pPr>
              <w:spacing w:after="40"/>
            </w:pPr>
            <w:r>
              <w:rPr>
                <w:sz w:val="18"/>
              </w:rPr>
              <w:t>phase17/defence_v3/vpl.py</w:t>
            </w:r>
          </w:p>
        </w:tc>
      </w:tr>
      <w:tr>
        <w:tc>
          <w:tcPr>
            <w:tcW w:type="dxa" w:w="2880"/>
          </w:tcPr>
          <w:p>
            <w:pPr>
              <w:spacing w:after="40"/>
            </w:pPr>
            <w:r>
              <w:rPr>
                <w:sz w:val="18"/>
              </w:rPr>
              <w:t>Root-anchored containment (RCL)</w:t>
            </w:r>
          </w:p>
        </w:tc>
        <w:tc>
          <w:tcPr>
            <w:tcW w:type="dxa" w:w="2880"/>
          </w:tcPr>
          <w:p>
            <w:pPr>
              <w:spacing w:after="40"/>
            </w:pPr>
            <w:r>
              <w:rPr>
                <w:sz w:val="18"/>
              </w:rPr>
              <w:t>withhold descendant d of root r iff state(r) = QUARANTINED and SEVERITY(r)·sem(d, r) ≥ 0.35, i.e. sem(d, r) ≥ 0.5  (frozen guard instead: max_a SEVERITY(a)·0.5^(dist−1)·ret(d, a))</w:t>
            </w:r>
          </w:p>
        </w:tc>
        <w:tc>
          <w:tcPr>
            <w:tcW w:type="dxa" w:w="2880"/>
          </w:tcPr>
          <w:p>
            <w:pPr>
              <w:spacing w:after="40"/>
            </w:pPr>
            <w:r>
              <w:rPr>
                <w:sz w:val="18"/>
              </w:rPr>
              <w:t>phase17/defence_v2/propagation_multigen.py: rcl, chain_arms</w:t>
            </w:r>
          </w:p>
        </w:tc>
      </w:tr>
      <w:tr>
        <w:tc>
          <w:tcPr>
            <w:tcW w:type="dxa" w:w="2880"/>
          </w:tcPr>
          <w:p>
            <w:pPr>
              <w:spacing w:after="40"/>
            </w:pPr>
            <w:r>
              <w:rPr>
                <w:sz w:val="18"/>
              </w:rPr>
              <w:t>Claim-tracked containment (CTC) and payload routing (PRC)</w:t>
            </w:r>
          </w:p>
        </w:tc>
        <w:tc>
          <w:tcPr>
            <w:tcW w:type="dxa" w:w="2880"/>
          </w:tcPr>
          <w:p>
            <w:pPr>
              <w:spacing w:after="40"/>
            </w:pPr>
            <w:r>
              <w:rPr>
                <w:sz w:val="18"/>
              </w:rPr>
              <w:t>CTC: withhold iff r flagged and max_s NLI_entail(premise = sentence s of d or d, hypothesis = r) ≥ 0.00474;  PRC: CTC if DIRECTIVE(r) ∨ B12(r) else RCL</w:t>
            </w:r>
          </w:p>
        </w:tc>
        <w:tc>
          <w:tcPr>
            <w:tcW w:type="dxa" w:w="2880"/>
          </w:tcPr>
          <w:p>
            <w:pPr>
              <w:spacing w:after="40"/>
            </w:pPr>
            <w:r>
              <w:rPr>
                <w:sz w:val="18"/>
              </w:rPr>
              <w:t>phase17/defence_v3/ctc.py;  phase17/defence_v4/prc.py</w:t>
            </w:r>
          </w:p>
        </w:tc>
      </w:tr>
      <w:tr>
        <w:tc>
          <w:tcPr>
            <w:tcW w:type="dxa" w:w="2880"/>
          </w:tcPr>
          <w:p>
            <w:pPr>
              <w:spacing w:after="40"/>
            </w:pPr>
            <w:r>
              <w:rPr>
                <w:sz w:val="18"/>
              </w:rPr>
              <w:t>Write-time taint propagation (WTP)</w:t>
            </w:r>
          </w:p>
        </w:tc>
        <w:tc>
          <w:tcPr>
            <w:tcW w:type="dxa" w:w="2880"/>
          </w:tcPr>
          <w:p>
            <w:pPr>
              <w:spacing w:after="40"/>
            </w:pPr>
            <w:r>
              <w:rPr>
                <w:sz w:val="18"/>
              </w:rPr>
              <w:t>taint(out_k) = taint(inputs_k) (∪ {r} at k = 1 if r quarantined);  withhold out_k iff ∃c ∈ taint(out_k): 0.7·sem(out_k, c) ≥ 0.35 — no stored lineage graph</w:t>
            </w:r>
          </w:p>
        </w:tc>
        <w:tc>
          <w:tcPr>
            <w:tcW w:type="dxa" w:w="2880"/>
          </w:tcPr>
          <w:p>
            <w:pPr>
              <w:spacing w:after="40"/>
            </w:pPr>
            <w:r>
              <w:rPr>
                <w:sz w:val="18"/>
              </w:rPr>
              <w:t>phase17/defence_v5/wtp.py</w:t>
            </w:r>
          </w:p>
        </w:tc>
      </w:tr>
      <w:tr>
        <w:tc>
          <w:tcPr>
            <w:tcW w:type="dxa" w:w="2880"/>
          </w:tcPr>
          <w:p>
            <w:pPr>
              <w:spacing w:after="40"/>
            </w:pPr>
            <w:r>
              <w:rPr>
                <w:sz w:val="18"/>
              </w:rPr>
              <w:t>Provenance-recording wrapper (PRW)</w:t>
            </w:r>
          </w:p>
        </w:tc>
        <w:tc>
          <w:tcPr>
            <w:tcW w:type="dxa" w:w="2880"/>
          </w:tcPr>
          <w:p>
            <w:pPr>
              <w:spacing w:after="40"/>
            </w:pPr>
            <w:r>
              <w:rPr>
                <w:sz w:val="18"/>
              </w:rPr>
              <w:t>srcs(m) ← srcs(m) ∪ {channel of the add that created or updated m};  untrusted(m) iff ∃s ∈ srcs(m): s ≠ user_turn  (Mem0 native: src(m) ← channel of the LAST writer)</w:t>
            </w:r>
          </w:p>
        </w:tc>
        <w:tc>
          <w:tcPr>
            <w:tcW w:type="dxa" w:w="2880"/>
          </w:tcPr>
          <w:p>
            <w:pPr>
              <w:spacing w:after="40"/>
            </w:pPr>
            <w:r>
              <w:rPr>
                <w:sz w:val="18"/>
              </w:rPr>
              <w:t>phase17/defence_v5/prw_mem0.py</w:t>
            </w:r>
          </w:p>
        </w:tc>
      </w:tr>
      <w:tr>
        <w:tc>
          <w:tcPr>
            <w:tcW w:type="dxa" w:w="2880"/>
          </w:tcPr>
          <w:p>
            <w:pPr>
              <w:spacing w:after="40"/>
            </w:pPr>
            <w:r>
              <w:rPr>
                <w:sz w:val="18"/>
              </w:rPr>
              <w:t>Verify-on-activation outcomes</w:t>
            </w:r>
          </w:p>
        </w:tc>
        <w:tc>
          <w:tcPr>
            <w:tcW w:type="dxa" w:w="2880"/>
          </w:tcPr>
          <w:p>
            <w:pPr>
              <w:spacing w:after="40"/>
            </w:pPr>
            <w:r>
              <w:rPr>
                <w:sz w:val="18"/>
              </w:rPr>
              <w:t>unconfirmed activation = ACT(armed) ∧ ¬ASK(armed) ∧ ¬ACT(clean);  surfaced = ACT ∨ ASK;  frame applied only to flagged / untrusted-authored memories</w:t>
            </w:r>
          </w:p>
        </w:tc>
        <w:tc>
          <w:tcPr>
            <w:tcW w:type="dxa" w:w="2880"/>
          </w:tcPr>
          <w:p>
            <w:pPr>
              <w:spacing w:after="40"/>
            </w:pPr>
            <w:r>
              <w:rPr>
                <w:sz w:val="18"/>
              </w:rPr>
              <w:t>phase17/defence_v4/voa.py;  phase17/defence_v5/af.py</w:t>
            </w:r>
          </w:p>
        </w:tc>
      </w:tr>
      <w:tr>
        <w:tc>
          <w:tcPr>
            <w:tcW w:type="dxa" w:w="2880"/>
          </w:tcPr>
          <w:p>
            <w:pPr>
              <w:spacing w:after="40"/>
            </w:pPr>
            <w:r>
              <w:rPr>
                <w:sz w:val="18"/>
              </w:rPr>
              <w:t>CLOSURE</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Operational gap-closure score</w:t>
            </w:r>
          </w:p>
        </w:tc>
        <w:tc>
          <w:tcPr>
            <w:tcW w:type="dxa" w:w="2880"/>
          </w:tcPr>
          <w:p>
            <w:pPr>
              <w:spacing w:after="40"/>
            </w:pPr>
            <w:r>
              <w:rPr>
                <w:sz w:val="18"/>
              </w:rPr>
              <w:t>S = Σ_i w_i·s_i with s_i ∈ {0, .25, .5, .75, 1};  S ← min(S, 0.5) if a critical s_i = 0;  S ← min(S, 0.6) if a critical s_i ≤ 0.25</w:t>
            </w:r>
          </w:p>
        </w:tc>
        <w:tc>
          <w:tcPr>
            <w:tcW w:type="dxa" w:w="2880"/>
          </w:tcPr>
          <w:p>
            <w:pPr>
              <w:spacing w:after="40"/>
            </w:pPr>
            <w:r>
              <w:rPr>
                <w:sz w:val="18"/>
              </w:rPr>
              <w:t>phase17/figures_final.py: closure_scores (rubric: FINAL_DEFENCE_BASELINE_AUDIT.md §3)</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