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2026-10-12 (round 7; corrections made in place)</w:t>
      </w:r>
    </w:p>
    <w:p>
      <w:pPr>
        <w:pStyle w:val="Heading1"/>
      </w:pPr>
      <w:r>
        <w:t>Abstract</w:t>
      </w:r>
    </w:p>
    <w:p>
      <w:pPr>
        <w:spacing w:after="120"/>
      </w:pPr>
      <w:r>
        <w:t>We report the results of five independent review rounds (3-7)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four new corpora -- two memory-poisoning, two injection -- each scored once under predictions committed in advance (39/47 held).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was reserved for out-of-loop validation (round 7 changed this: mistral authored hold-out 4 and judges hold-out 8's mechanisms, Gemini judged hold-outs 4 and 7's mechanisms and is the harm judge adopted against human labels, and no model ever judges text it wrote). Temperature is 0 with fixed seeds throughout, but runs are NOT bit-reproducible: an identical prompt set scored 66, 64 and 61 of 120 across three runs, because Ollama's concurrent batching is not deterministic. Roughly 5 points on n=120 was taken as the noise floor for LLM-generated and LLM-judged quantities, scaled as 5*sqrt(120/n) for other sample sizes, and no such difference smaller than that is claimed. Retrieval-ranking and detection decisions on fixed text are deterministic (no generation), so the floor does not apply to them; their small differences rest on exact paired tests instead.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spacing w:after="120"/>
      </w:pPr>
      <w:r>
        <w:t>The same trigger-absence error reached the harm study's AgentPoison subset, which asked its task without the trigger. Re-run through the identical pipeline with each instance's own trigger in the question, undefended harm moved 2/17 to 4/17 (11.8% to 23.5%): 2 instances turned harmful and none the other way, but at n=17 this is not significant (p=0.5). The poison was retrieved in 17/17 of both arms, so retrieval was never the limiter. It is reported as directionally consistent with the subversion finding above, not as an independent powered result.</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(original judge; a judge validated against human labels finds undefended harm about twice as high on the same answers -- Section 13B).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 B17/B18's no-evidence cells are derived from the same per-item decisions (phase17/data/family_union_evidence.json); an earlier version printed dashes for them.</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on ordinary memory (on hold-out 4's memory-shaped benign notes the union pays both components' false positives, Section 13)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(corroboration with evidence proved more brittle, 22/48, Section 13B),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3.7% of hold-out 7's benign notes even as the user's own words (4.9% on its owner-matched subset),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(5) RETRIEVAL ranking: run the consensus guard with SEMANTIC divergence, not its shipped lexical default. Against coordinated campaigns -- a poison plus two paraphrases -- the semantic gate kept any copy out of the agent's context in 36 more of 302 cases (p=3e-11) at 2.78 points of benign displacement, where the lexical default did nothing. Against a single poison the guard is inert by design (a single memory is never a cluster); there, provenance corroboration supplied to the ranking is what helps. Measured on development data and fresh stores, not on a hold-out. It is a trade, not a free gain: on Phase 6's own hand-authored corpus the semantic variants raise detection (B8 70.6% -&gt; B8s 100.0%) and double benign false positives (7.3% -&gt; 14.6% of 41). They ship as B2s-B8s beside the unchanged originals, so every number measured with the lexical default stays reproducible.</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and at the recommended radius 0.95 carries a 6.4% ledger-poisoning blast radius (29.7% at 0.90); it does nothing against a single-shot attacker, one who distributes attempts across isolated scopes, or one who waits out the ledger time-to-live. (ii) Exfiltration is a tested mechanism whose harm is zero for every agent family tried; that is a finding about 7-8B assistants. (iii) Hold-out 4 covers note-shaped poisoning only (its safety-tuned author inverted the instruction-shaped families); hold-out 7 adds instruction-shaped attacks but its working subset is not reportable, and hold-out 8 tests conditional backdoors (Section 13D). Hold-out 5 has 131 attacks, so its rates carry about +/-8 points. The stronger-agent comparison rests on 120 development items. (iv) The first three hold-outs are prompt-injection or jailbreak corpora; hold-outs 4 and 7 are the memory-poisoning hold-outs. (v) The judges were checked against two annotators. (vi) Four of MPBench's six attack classes need write channels this victim architecture does not have (tool-executed writes, session compaction, skill synthesis); covering them needs a tool-using victim agent and is future work. (vii) No licence has been attached to the benchmark, which is a deliberate deferral by the owner.</w:t>
      </w:r>
    </w:p>
    <w:p>
      <w:pPr>
        <w:pStyle w:val="Heading1"/>
      </w:pPr>
      <w:r>
        <w:t>12. Conclusion</w:t>
      </w:r>
    </w:p>
    <w:p>
      <w:pPr>
        <w:spacing w:after="120"/>
      </w:pPr>
      <w:r>
        <w:t>The central result of these five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New Clean Hold-Outs, a Composition, and What Did Not Generalise</w:t>
      </w:r>
    </w:p>
    <w:p>
      <w:pPr>
        <w:spacing w:after="120"/>
      </w:pPr>
      <w:r>
        <w:t>Round 7 retired hold-out 3 (scored seven times, one pre-registered, and its development set shown to be the hold-out itself: Section 10C) and built new corpora -- hold-outs 4 and 5 in this section, 6 and 7 in Section 13A -- each frozen before any configuration was scored and each scored exactly ONCE under predictions committed beforehand (docs/phase17/PREREGISTRATION_ROUND7.md, plus addenda, each committed before the scoring it governs; the first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A third approach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(Section 13D).</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(since measured: about half, Section 13B); harm REDUCTIONS are more robust because both arms share a judge; detection and false-positive results use no judge at all.</w:t>
      </w:r>
    </w:p>
    <w:p>
      <w:pPr>
        <w:spacing w:after="120"/>
      </w:pPr>
      <w:r>
        <w:t>A second, independent annotator then labelled the same 100 items blind to the first annotator and to the judges. The two people agreed on 95% of items (kappa 0.834); on compliance 88% (kappa 0.731). Their harm and mechanism labels were identical, but this is largely a ceiling: harm was YES on 36/40 items for both and mechanism YES on all 20 (kappa undefined), so identical labels say less than the 100% suggests. What the second annotator settles is the direction of the harm disagreement: the original harm judge missed the same 16 harms against the second person (kappa 0.2), so 'one generous annotator' is no longer a sufficient explanation -- the judge under-calls harm. The adopted judge J2, chosen on the first annotator's labels, scores kappa 0.688 against the second; because the two people's harm labels coincide, this replicates rather than independently re-tests the selection.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Comparison</w:t>
            </w:r>
          </w:p>
        </w:tc>
        <w:tc>
          <w:tcPr>
            <w:tcW w:type="dxa" w:w="1728"/>
          </w:tcPr>
          <w:p>
            <w:pPr>
              <w:spacing w:after="40"/>
            </w:pPr>
            <w:r>
              <w:rPr>
                <w:b/>
                <w:sz w:val="18"/>
              </w:rPr>
              <w:t>Type</w:t>
            </w:r>
          </w:p>
        </w:tc>
        <w:tc>
          <w:tcPr>
            <w:tcW w:type="dxa" w:w="1728"/>
          </w:tcPr>
          <w:p>
            <w:pPr>
              <w:spacing w:after="40"/>
            </w:pPr>
            <w:r>
              <w:rPr>
                <w:b/>
                <w:sz w:val="18"/>
              </w:rPr>
              <w:t>n</w:t>
            </w:r>
          </w:p>
        </w:tc>
        <w:tc>
          <w:tcPr>
            <w:tcW w:type="dxa" w:w="1728"/>
          </w:tcPr>
          <w:p>
            <w:pPr>
              <w:spacing w:after="40"/>
            </w:pPr>
            <w:r>
              <w:rPr>
                <w:b/>
                <w:sz w:val="18"/>
              </w:rPr>
              <w:t>Agreement</w:t>
            </w:r>
          </w:p>
        </w:tc>
        <w:tc>
          <w:tcPr>
            <w:tcW w:type="dxa" w:w="1728"/>
          </w:tcPr>
          <w:p>
            <w:pPr>
              <w:spacing w:after="40"/>
            </w:pPr>
            <w:r>
              <w:rPr>
                <w:b/>
                <w:sz w:val="18"/>
              </w:rPr>
              <w:t>Cohen's kappa</w:t>
            </w:r>
          </w:p>
        </w:tc>
      </w:tr>
      <w:tr>
        <w:tc>
          <w:tcPr>
            <w:tcW w:type="dxa" w:w="1728"/>
          </w:tcPr>
          <w:p>
            <w:pPr>
              <w:spacing w:after="40"/>
            </w:pPr>
            <w:r>
              <w:rPr>
                <w:sz w:val="18"/>
              </w:rPr>
              <w:t>Annotator 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87.5%</w:t>
            </w:r>
          </w:p>
        </w:tc>
        <w:tc>
          <w:tcPr>
            <w:tcW w:type="dxa" w:w="1728"/>
          </w:tcPr>
          <w:p>
            <w:pPr>
              <w:spacing w:after="40"/>
            </w:pPr>
            <w:r>
              <w:rPr>
                <w:sz w:val="18"/>
              </w:rPr>
              <w:t>0.731</w:t>
            </w:r>
          </w:p>
        </w:tc>
      </w:tr>
      <w:tr>
        <w:tc>
          <w:tcPr>
            <w:tcW w:type="dxa" w:w="1728"/>
          </w:tcPr>
          <w:p>
            <w:pPr>
              <w:spacing w:after="40"/>
            </w:pPr>
            <w:r>
              <w:rPr>
                <w:sz w:val="18"/>
              </w:rPr>
              <w:t>Annotator 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100.0%</w:t>
            </w:r>
          </w:p>
        </w:tc>
        <w:tc>
          <w:tcPr>
            <w:tcW w:type="dxa" w:w="1728"/>
          </w:tcPr>
          <w:p>
            <w:pPr>
              <w:spacing w:after="40"/>
            </w:pPr>
            <w:r>
              <w:rPr>
                <w:sz w:val="18"/>
              </w:rPr>
              <w:t>1.0</w:t>
            </w:r>
          </w:p>
        </w:tc>
      </w:tr>
      <w:tr>
        <w:tc>
          <w:tcPr>
            <w:tcW w:type="dxa" w:w="1728"/>
          </w:tcPr>
          <w:p>
            <w:pPr>
              <w:spacing w:after="40"/>
            </w:pPr>
            <w:r>
              <w:rPr>
                <w:sz w:val="18"/>
              </w:rPr>
              <w:t>Annotator 1 vs annotator 2</w:t>
            </w:r>
          </w:p>
        </w:tc>
        <w:tc>
          <w:tcPr>
            <w:tcW w:type="dxa" w:w="1728"/>
          </w:tcPr>
          <w:p>
            <w:pPr>
              <w:spacing w:after="40"/>
            </w:pPr>
            <w:r>
              <w:rPr>
                <w:sz w:val="18"/>
              </w:rPr>
              <w:t>mechanism</w:t>
            </w:r>
          </w:p>
        </w:tc>
        <w:tc>
          <w:tcPr>
            <w:tcW w:type="dxa" w:w="1728"/>
          </w:tcPr>
          <w:p>
            <w:pPr>
              <w:spacing w:after="40"/>
            </w:pPr>
            <w:r>
              <w:rPr>
                <w:sz w:val="18"/>
              </w:rPr>
              <w:t>20</w:t>
            </w:r>
          </w:p>
        </w:tc>
        <w:tc>
          <w:tcPr>
            <w:tcW w:type="dxa" w:w="1728"/>
          </w:tcPr>
          <w:p>
            <w:pPr>
              <w:spacing w:after="40"/>
            </w:pPr>
            <w:r>
              <w:rPr>
                <w:sz w:val="18"/>
              </w:rPr>
              <w:t>100.0%</w:t>
            </w:r>
          </w:p>
        </w:tc>
        <w:tc>
          <w:tcPr>
            <w:tcW w:type="dxa" w:w="1728"/>
          </w:tcPr>
          <w:p>
            <w:pPr>
              <w:spacing w:after="40"/>
            </w:pPr>
            <w:r>
              <w:rPr>
                <w:sz w:val="18"/>
              </w:rPr>
              <w:t>undefined (all YES)</w:t>
            </w:r>
          </w:p>
        </w:tc>
      </w:tr>
      <w:tr>
        <w:tc>
          <w:tcPr>
            <w:tcW w:type="dxa" w:w="1728"/>
          </w:tcPr>
          <w:p>
            <w:pPr>
              <w:spacing w:after="40"/>
            </w:pPr>
            <w:r>
              <w:rPr>
                <w:sz w:val="18"/>
              </w:rPr>
              <w:t>Annotator 1 vs annotator 2</w:t>
            </w:r>
          </w:p>
        </w:tc>
        <w:tc>
          <w:tcPr>
            <w:tcW w:type="dxa" w:w="1728"/>
          </w:tcPr>
          <w:p>
            <w:pPr>
              <w:spacing w:after="40"/>
            </w:pPr>
            <w:r>
              <w:rPr>
                <w:sz w:val="18"/>
              </w:rPr>
              <w:t>ALL</w:t>
            </w:r>
          </w:p>
        </w:tc>
        <w:tc>
          <w:tcPr>
            <w:tcW w:type="dxa" w:w="1728"/>
          </w:tcPr>
          <w:p>
            <w:pPr>
              <w:spacing w:after="40"/>
            </w:pPr>
            <w:r>
              <w:rPr>
                <w:sz w:val="18"/>
              </w:rPr>
              <w:t>100</w:t>
            </w:r>
          </w:p>
        </w:tc>
        <w:tc>
          <w:tcPr>
            <w:tcW w:type="dxa" w:w="1728"/>
          </w:tcPr>
          <w:p>
            <w:pPr>
              <w:spacing w:after="40"/>
            </w:pPr>
            <w:r>
              <w:rPr>
                <w:sz w:val="18"/>
              </w:rPr>
              <w:t>95.0%</w:t>
            </w:r>
          </w:p>
        </w:tc>
        <w:tc>
          <w:tcPr>
            <w:tcW w:type="dxa" w:w="1728"/>
          </w:tcPr>
          <w:p>
            <w:pPr>
              <w:spacing w:after="40"/>
            </w:pPr>
            <w:r>
              <w:rPr>
                <w:sz w:val="18"/>
              </w:rPr>
              <w:t>0.834</w:t>
            </w:r>
          </w:p>
        </w:tc>
      </w:tr>
      <w:tr>
        <w:tc>
          <w:tcPr>
            <w:tcW w:type="dxa" w:w="1728"/>
          </w:tcPr>
          <w:p>
            <w:pPr>
              <w:spacing w:after="40"/>
            </w:pPr>
            <w:r>
              <w:rPr>
                <w:sz w:val="18"/>
              </w:rPr>
              <w:t>Compliance judge (llama3.1)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77.5%</w:t>
            </w:r>
          </w:p>
        </w:tc>
        <w:tc>
          <w:tcPr>
            <w:tcW w:type="dxa" w:w="1728"/>
          </w:tcPr>
          <w:p>
            <w:pPr>
              <w:spacing w:after="40"/>
            </w:pPr>
            <w:r>
              <w:rPr>
                <w:sz w:val="18"/>
              </w:rPr>
              <w:t>0.55</w:t>
            </w:r>
          </w:p>
        </w:tc>
      </w:tr>
      <w:tr>
        <w:tc>
          <w:tcPr>
            <w:tcW w:type="dxa" w:w="1728"/>
          </w:tcPr>
          <w:p>
            <w:pPr>
              <w:spacing w:after="40"/>
            </w:pPr>
            <w:r>
              <w:rPr>
                <w:sz w:val="18"/>
              </w:rPr>
              <w:t>Original harm judge (J0)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60.0%</w:t>
            </w:r>
          </w:p>
        </w:tc>
        <w:tc>
          <w:tcPr>
            <w:tcW w:type="dxa" w:w="1728"/>
          </w:tcPr>
          <w:p>
            <w:pPr>
              <w:spacing w:after="40"/>
            </w:pPr>
            <w:r>
              <w:rPr>
                <w:sz w:val="18"/>
              </w:rPr>
              <w:t>0.2</w:t>
            </w:r>
          </w:p>
        </w:tc>
      </w:tr>
      <w:tr>
        <w:tc>
          <w:tcPr>
            <w:tcW w:type="dxa" w:w="1728"/>
          </w:tcPr>
          <w:p>
            <w:pPr>
              <w:spacing w:after="40"/>
            </w:pPr>
            <w:r>
              <w:rPr>
                <w:sz w:val="18"/>
              </w:rPr>
              <w:t>Rubric harm judge (J1)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80.0%</w:t>
            </w:r>
          </w:p>
        </w:tc>
        <w:tc>
          <w:tcPr>
            <w:tcW w:type="dxa" w:w="1728"/>
          </w:tcPr>
          <w:p>
            <w:pPr>
              <w:spacing w:after="40"/>
            </w:pPr>
            <w:r>
              <w:rPr>
                <w:sz w:val="18"/>
              </w:rPr>
              <w:t>0.412</w:t>
            </w:r>
          </w:p>
        </w:tc>
      </w:tr>
      <w:tr>
        <w:tc>
          <w:tcPr>
            <w:tcW w:type="dxa" w:w="1728"/>
          </w:tcPr>
          <w:p>
            <w:pPr>
              <w:spacing w:after="40"/>
            </w:pPr>
            <w:r>
              <w:rPr>
                <w:sz w:val="18"/>
              </w:rPr>
              <w:t>Adopted harm judge (J2)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92.5%</w:t>
            </w:r>
          </w:p>
        </w:tc>
        <w:tc>
          <w:tcPr>
            <w:tcW w:type="dxa" w:w="1728"/>
          </w:tcPr>
          <w:p>
            <w:pPr>
              <w:spacing w:after="40"/>
            </w:pPr>
            <w:r>
              <w:rPr>
                <w:sz w:val="18"/>
              </w:rPr>
              <w:t>0.688</w:t>
            </w:r>
          </w:p>
        </w:tc>
      </w:tr>
    </w:tbl>
    <w:p>
      <w:pPr>
        <w:spacing w:after="200"/>
      </w:pPr>
      <w:r>
        <w:rPr>
          <w:i/>
          <w:sz w:val="18"/>
        </w:rPr>
        <w:t>Table 15A. Two independent blind annotators, and the judges against the second. Identical harm and mechanism labels reflect a ceiling (harm YES on 36/40 items, mechanism on 20/20). Source: phase17/data/human_label_agreement_annotator2.json.</w:t>
      </w:r>
    </w:p>
    <w:p>
      <w:pPr>
        <w:spacing w:after="120"/>
      </w:pPr>
      <w:r>
        <w:t>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w:t>
      </w:r>
    </w:p>
    <w:p>
      <w:pPr>
        <w:spacing w:after="120"/>
      </w:pPr>
      <w:r>
        <w:t>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16.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r>
        <w:drawing>
          <wp:inline xmlns:a="http://schemas.openxmlformats.org/drawingml/2006/main" xmlns:pic="http://schemas.openxmlformats.org/drawingml/2006/picture">
            <wp:extent cx="5760720" cy="3744468"/>
            <wp:docPr id="1" name="Picture 1"/>
            <wp:cNvGraphicFramePr>
              <a:graphicFrameLocks noChangeAspect="1"/>
            </wp:cNvGraphicFramePr>
            <a:graphic>
              <a:graphicData uri="http://schemas.openxmlformats.org/drawingml/2006/picture">
                <pic:pic>
                  <pic:nvPicPr>
                    <pic:cNvPr id="0" name="R1_holdouts_recall_vs_fpr.png"/>
                    <pic:cNvPicPr/>
                  </pic:nvPicPr>
                  <pic:blipFill>
                    <a:blip r:embed="rId9"/>
                    <a:stretch>
                      <a:fillRect/>
                    </a:stretch>
                  </pic:blipFill>
                  <pic:spPr>
                    <a:xfrm>
                      <a:off x="0" y="0"/>
                      <a:ext cx="5760720" cy="3744468"/>
                    </a:xfrm>
                    <a:prstGeom prst="rect"/>
                  </pic:spPr>
                </pic:pic>
              </a:graphicData>
            </a:graphic>
          </wp:inline>
        </w:drawing>
      </w:r>
    </w:p>
    <w:p>
      <w:pPr>
        <w:spacing w:after="200"/>
      </w:pPr>
      <w:r>
        <w:rPr>
          <w:i/>
          <w:sz w:val="18"/>
        </w:rPr>
        <w:t>Figure 1. Every configuration on hold-outs 4-8, each scored once: attack recall against the false-positive rate on benign text (matched benign for the injection hold-outs 5 and 6; untrusted-channel benign notes for the memory-poisoning hold-outs 4, 7 and 8). Drawn from the artifacts at build time.</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FAILED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0.00024</w:t>
            </w:r>
          </w:p>
        </w:tc>
      </w:tr>
      <w:tr>
        <w:tc>
          <w:tcPr>
            <w:tcW w:type="dxa" w:w="2160"/>
          </w:tcPr>
          <w:p>
            <w:pPr>
              <w:spacing w:after="40"/>
            </w:pPr>
            <w:r>
              <w:rPr>
                <w:sz w:val="18"/>
              </w:rPr>
              <w:t>H5-6: PRIMARY: P4(B12) harm &lt; P2(B12) harm, p&lt;0.05</w:t>
            </w:r>
          </w:p>
        </w:tc>
        <w:tc>
          <w:tcPr>
            <w:tcW w:type="dxa" w:w="2160"/>
          </w:tcPr>
          <w:p>
            <w:pPr>
              <w:spacing w:after="40"/>
            </w:pPr>
            <w:r>
              <w:rPr>
                <w:sz w:val="18"/>
              </w:rPr>
              <w:t>FAILED</w:t>
            </w:r>
          </w:p>
        </w:tc>
        <w:tc>
          <w:tcPr>
            <w:tcW w:type="dxa" w:w="2160"/>
          </w:tcPr>
          <w:p>
            <w:pPr>
              <w:spacing w:after="40"/>
            </w:pPr>
            <w:r>
              <w:rPr>
                <w:sz w:val="18"/>
              </w:rPr>
              <w:t>20 -&gt; 15 of 131, p=0.23</w:t>
            </w:r>
          </w:p>
        </w:tc>
        <w:tc>
          <w:tcPr>
            <w:tcW w:type="dxa" w:w="2160"/>
          </w:tcPr>
          <w:p>
            <w:pPr>
              <w:spacing w:after="40"/>
            </w:pPr>
            <w:r>
              <w:rPr>
                <w:sz w:val="18"/>
              </w:rPr>
              <w:t>0.69</w:t>
            </w:r>
          </w:p>
        </w:tc>
      </w:tr>
      <w:tr>
        <w:tc>
          <w:tcPr>
            <w:tcW w:type="dxa" w:w="2160"/>
          </w:tcPr>
          <w:p>
            <w:pPr>
              <w:spacing w:after="40"/>
            </w:pPr>
            <w:r>
              <w:rPr>
                <w:sz w:val="18"/>
              </w:rPr>
              <w:t>H5-7: P4(B12) harm &lt;= P2(B18) harm at lower benign exclusion</w:t>
            </w:r>
          </w:p>
        </w:tc>
        <w:tc>
          <w:tcPr>
            <w:tcW w:type="dxa" w:w="2160"/>
          </w:tcPr>
          <w:p>
            <w:pPr>
              <w:spacing w:after="40"/>
            </w:pPr>
            <w:r>
              <w:rPr>
                <w:sz w:val="18"/>
              </w:rPr>
              <w:t>FAILED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2e-13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4.8e-58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0.16</w:t>
            </w:r>
          </w:p>
        </w:tc>
      </w:tr>
      <w:tr>
        <w:tc>
          <w:tcPr>
            <w:tcW w:type="dxa" w:w="2160"/>
          </w:tcPr>
          <w:p>
            <w:pPr>
              <w:spacing w:after="40"/>
            </w:pPr>
            <w:r>
              <w:rPr>
                <w:sz w:val="18"/>
              </w:rPr>
              <w:t>H6-6: P4(B18) &lt; P2(B18), p&lt;0.05</w:t>
            </w:r>
          </w:p>
        </w:tc>
        <w:tc>
          <w:tcPr>
            <w:tcW w:type="dxa" w:w="2160"/>
          </w:tcPr>
          <w:p>
            <w:pPr>
              <w:spacing w:after="40"/>
            </w:pPr>
            <w:r>
              <w:rPr>
                <w:sz w:val="18"/>
              </w:rPr>
              <w:t>FAILED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0.0027</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FAILED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FAILED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5.8e-06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0.00076</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r>
        <w:tc>
          <w:tcPr>
            <w:tcW w:type="dxa" w:w="2160"/>
          </w:tcPr>
          <w:p>
            <w:pPr>
              <w:spacing w:after="40"/>
            </w:pPr>
            <w:r>
              <w:rPr>
                <w:sz w:val="18"/>
              </w:rPr>
              <w:t>R-1: risk-weighted ranking + admission corroboration exposes poison less than the fixed gate, p&lt;0.05</w:t>
            </w:r>
          </w:p>
        </w:tc>
        <w:tc>
          <w:tcPr>
            <w:tcW w:type="dxa" w:w="2160"/>
          </w:tcPr>
          <w:p>
            <w:pPr>
              <w:spacing w:after="40"/>
            </w:pPr>
            <w:r>
              <w:rPr>
                <w:sz w:val="18"/>
              </w:rPr>
              <w:t>HELD</w:t>
            </w:r>
          </w:p>
        </w:tc>
        <w:tc>
          <w:tcPr>
            <w:tcW w:type="dxa" w:w="2160"/>
          </w:tcPr>
          <w:p>
            <w:pPr>
              <w:spacing w:after="40"/>
            </w:pPr>
            <w:r>
              <w:rPr>
                <w:sz w:val="18"/>
              </w:rPr>
              <w:t>88 -&gt; 82 of 309, p=0.031</w:t>
            </w:r>
          </w:p>
        </w:tc>
        <w:tc>
          <w:tcPr>
            <w:tcW w:type="dxa" w:w="2160"/>
          </w:tcPr>
          <w:p>
            <w:pPr>
              <w:spacing w:after="40"/>
            </w:pPr>
            <w:r>
              <w:rPr>
                <w:sz w:val="18"/>
              </w:rPr>
              <w:t>0.19</w:t>
            </w:r>
          </w:p>
        </w:tc>
      </w:tr>
      <w:tr>
        <w:tc>
          <w:tcPr>
            <w:tcW w:type="dxa" w:w="2160"/>
          </w:tcPr>
          <w:p>
            <w:pPr>
              <w:spacing w:after="40"/>
            </w:pPr>
            <w:r>
              <w:rPr>
                <w:sz w:val="18"/>
              </w:rPr>
              <w:t>R-2: risk-weighted ranking (divergence only) exposes no more than the fixed gate</w:t>
            </w:r>
          </w:p>
        </w:tc>
        <w:tc>
          <w:tcPr>
            <w:tcW w:type="dxa" w:w="2160"/>
          </w:tcPr>
          <w:p>
            <w:pPr>
              <w:spacing w:after="40"/>
            </w:pPr>
            <w:r>
              <w:rPr>
                <w:sz w:val="18"/>
              </w:rPr>
              <w:t>HELD</w:t>
            </w:r>
          </w:p>
        </w:tc>
        <w:tc>
          <w:tcPr>
            <w:tcW w:type="dxa" w:w="2160"/>
          </w:tcPr>
          <w:p>
            <w:pPr>
              <w:spacing w:after="40"/>
            </w:pPr>
            <w:r>
              <w:rPr>
                <w:sz w:val="18"/>
              </w:rPr>
              <w:t>88 vs 88</w:t>
            </w:r>
          </w:p>
        </w:tc>
        <w:tc>
          <w:tcPr>
            <w:tcW w:type="dxa" w:w="2160"/>
          </w:tcPr>
          <w:p>
            <w:pPr>
              <w:spacing w:after="40"/>
            </w:pPr>
            <w:r>
              <w:rPr>
                <w:sz w:val="18"/>
              </w:rPr>
              <w:t>-</w:t>
            </w:r>
          </w:p>
        </w:tc>
      </w:tr>
      <w:tr>
        <w:tc>
          <w:tcPr>
            <w:tcW w:type="dxa" w:w="2160"/>
          </w:tcPr>
          <w:p>
            <w:pPr>
              <w:spacing w:after="40"/>
            </w:pPr>
            <w:r>
              <w:rPr>
                <w:sz w:val="18"/>
              </w:rPr>
              <w:t>R-3: A3 benign displacement within 5 points of A1's</w:t>
            </w:r>
          </w:p>
        </w:tc>
        <w:tc>
          <w:tcPr>
            <w:tcW w:type="dxa" w:w="2160"/>
          </w:tcPr>
          <w:p>
            <w:pPr>
              <w:spacing w:after="40"/>
            </w:pPr>
            <w:r>
              <w:rPr>
                <w:sz w:val="18"/>
              </w:rPr>
              <w:t>HELD</w:t>
            </w:r>
          </w:p>
        </w:tc>
        <w:tc>
          <w:tcPr>
            <w:tcW w:type="dxa" w:w="2160"/>
          </w:tcPr>
          <w:p>
            <w:pPr>
              <w:spacing w:after="40"/>
            </w:pPr>
            <w:r>
              <w:rPr>
                <w:sz w:val="18"/>
              </w:rPr>
              <w:t>0.0 vs 0.0 points</w:t>
            </w:r>
          </w:p>
        </w:tc>
        <w:tc>
          <w:tcPr>
            <w:tcW w:type="dxa" w:w="2160"/>
          </w:tcPr>
          <w:p>
            <w:pPr>
              <w:spacing w:after="40"/>
            </w:pPr>
            <w:r>
              <w:rPr>
                <w:sz w:val="18"/>
              </w:rPr>
              <w:t>-</w:t>
            </w:r>
          </w:p>
        </w:tc>
      </w:tr>
      <w:tr>
        <w:tc>
          <w:tcPr>
            <w:tcW w:type="dxa" w:w="2160"/>
          </w:tcPr>
          <w:p>
            <w:pPr>
              <w:spacing w:after="40"/>
            </w:pPr>
            <w:r>
              <w:rPr>
                <w:sz w:val="18"/>
              </w:rPr>
              <w:t>R-4: the fixed-gate guard exposes poison less than no defense, p&lt;0.05</w:t>
            </w:r>
          </w:p>
        </w:tc>
        <w:tc>
          <w:tcPr>
            <w:tcW w:type="dxa" w:w="2160"/>
          </w:tcPr>
          <w:p>
            <w:pPr>
              <w:spacing w:after="40"/>
            </w:pPr>
            <w:r>
              <w:rPr>
                <w:sz w:val="18"/>
              </w:rPr>
              <w:t>FAILED</w:t>
            </w:r>
          </w:p>
        </w:tc>
        <w:tc>
          <w:tcPr>
            <w:tcW w:type="dxa" w:w="2160"/>
          </w:tcPr>
          <w:p>
            <w:pPr>
              <w:spacing w:after="40"/>
            </w:pPr>
            <w:r>
              <w:rPr>
                <w:sz w:val="18"/>
              </w:rPr>
              <w:t>89 -&gt; 88 of 309, p=1</w:t>
            </w:r>
          </w:p>
        </w:tc>
        <w:tc>
          <w:tcPr>
            <w:tcW w:type="dxa" w:w="2160"/>
          </w:tcPr>
          <w:p>
            <w:pPr>
              <w:spacing w:after="40"/>
            </w:pPr>
            <w:r>
              <w:rPr>
                <w:sz w:val="18"/>
              </w:rPr>
              <w:t>1</w:t>
            </w:r>
          </w:p>
        </w:tc>
      </w:tr>
      <w:tr>
        <w:tc>
          <w:tcPr>
            <w:tcW w:type="dxa" w:w="2160"/>
          </w:tcPr>
          <w:p>
            <w:pPr>
              <w:spacing w:after="40"/>
            </w:pPr>
            <w:r>
              <w:rPr>
                <w:sz w:val="18"/>
              </w:rPr>
              <w:t>R6-1: fresh stores: risk-weighted + corroboration exposes less than the fixed gate, p&lt;0.05 (replicates R-1)</w:t>
            </w:r>
          </w:p>
        </w:tc>
        <w:tc>
          <w:tcPr>
            <w:tcW w:type="dxa" w:w="2160"/>
          </w:tcPr>
          <w:p>
            <w:pPr>
              <w:spacing w:after="40"/>
            </w:pPr>
            <w:r>
              <w:rPr>
                <w:sz w:val="18"/>
              </w:rPr>
              <w:t>HELD</w:t>
            </w:r>
          </w:p>
        </w:tc>
        <w:tc>
          <w:tcPr>
            <w:tcW w:type="dxa" w:w="2160"/>
          </w:tcPr>
          <w:p>
            <w:pPr>
              <w:spacing w:after="40"/>
            </w:pPr>
            <w:r>
              <w:rPr>
                <w:sz w:val="18"/>
              </w:rPr>
              <w:t>76 -&gt; 68 of 309, p=0.0078</w:t>
            </w:r>
          </w:p>
        </w:tc>
        <w:tc>
          <w:tcPr>
            <w:tcW w:type="dxa" w:w="2160"/>
          </w:tcPr>
          <w:p>
            <w:pPr>
              <w:spacing w:after="40"/>
            </w:pPr>
            <w:r>
              <w:rPr>
                <w:sz w:val="18"/>
              </w:rPr>
              <w:t>0.062</w:t>
            </w:r>
          </w:p>
        </w:tc>
      </w:tr>
      <w:tr>
        <w:tc>
          <w:tcPr>
            <w:tcW w:type="dxa" w:w="2160"/>
          </w:tcPr>
          <w:p>
            <w:pPr>
              <w:spacing w:after="40"/>
            </w:pPr>
            <w:r>
              <w:rPr>
                <w:sz w:val="18"/>
              </w:rPr>
              <w:t>R6-2: campaign: the semantic fixed gate exposes less than no defense, p&lt;0.05</w:t>
            </w:r>
          </w:p>
        </w:tc>
        <w:tc>
          <w:tcPr>
            <w:tcW w:type="dxa" w:w="2160"/>
          </w:tcPr>
          <w:p>
            <w:pPr>
              <w:spacing w:after="40"/>
            </w:pPr>
            <w:r>
              <w:rPr>
                <w:sz w:val="18"/>
              </w:rPr>
              <w:t>HELD</w:t>
            </w:r>
          </w:p>
        </w:tc>
        <w:tc>
          <w:tcPr>
            <w:tcW w:type="dxa" w:w="2160"/>
          </w:tcPr>
          <w:p>
            <w:pPr>
              <w:spacing w:after="40"/>
            </w:pPr>
            <w:r>
              <w:rPr>
                <w:sz w:val="18"/>
              </w:rPr>
              <w:t>99 -&gt; 63 of 302, p=2.9e-11</w:t>
            </w:r>
          </w:p>
        </w:tc>
        <w:tc>
          <w:tcPr>
            <w:tcW w:type="dxa" w:w="2160"/>
          </w:tcPr>
          <w:p>
            <w:pPr>
              <w:spacing w:after="40"/>
            </w:pPr>
            <w:r>
              <w:rPr>
                <w:sz w:val="18"/>
              </w:rPr>
              <w:t>3.8e-10</w:t>
            </w:r>
          </w:p>
        </w:tc>
      </w:tr>
      <w:tr>
        <w:tc>
          <w:tcPr>
            <w:tcW w:type="dxa" w:w="2160"/>
          </w:tcPr>
          <w:p>
            <w:pPr>
              <w:spacing w:after="40"/>
            </w:pPr>
            <w:r>
              <w:rPr>
                <w:sz w:val="18"/>
              </w:rPr>
              <w:t>R6-3: campaign: the lexical gate removes fewer exposures than the semantic gate</w:t>
            </w:r>
          </w:p>
        </w:tc>
        <w:tc>
          <w:tcPr>
            <w:tcW w:type="dxa" w:w="2160"/>
          </w:tcPr>
          <w:p>
            <w:pPr>
              <w:spacing w:after="40"/>
            </w:pPr>
            <w:r>
              <w:rPr>
                <w:sz w:val="18"/>
              </w:rPr>
              <w:t>HELD</w:t>
            </w:r>
          </w:p>
        </w:tc>
        <w:tc>
          <w:tcPr>
            <w:tcW w:type="dxa" w:w="2160"/>
          </w:tcPr>
          <w:p>
            <w:pPr>
              <w:spacing w:after="40"/>
            </w:pPr>
            <w:r>
              <w:rPr>
                <w:sz w:val="18"/>
              </w:rPr>
              <w:t>lexical -1 vs semantic 36</w:t>
            </w:r>
          </w:p>
        </w:tc>
        <w:tc>
          <w:tcPr>
            <w:tcW w:type="dxa" w:w="2160"/>
          </w:tcPr>
          <w:p>
            <w:pPr>
              <w:spacing w:after="40"/>
            </w:pPr>
            <w:r>
              <w:rPr>
                <w:sz w:val="18"/>
              </w:rPr>
              <w:t>-</w:t>
            </w:r>
          </w:p>
        </w:tc>
      </w:tr>
      <w:tr>
        <w:tc>
          <w:tcPr>
            <w:tcW w:type="dxa" w:w="2160"/>
          </w:tcPr>
          <w:p>
            <w:pPr>
              <w:spacing w:after="40"/>
            </w:pPr>
            <w:r>
              <w:rPr>
                <w:sz w:val="18"/>
              </w:rPr>
              <w:t>R6-4: campaign: semantic gate benign displacement &lt;= 5 points</w:t>
            </w:r>
          </w:p>
        </w:tc>
        <w:tc>
          <w:tcPr>
            <w:tcW w:type="dxa" w:w="2160"/>
          </w:tcPr>
          <w:p>
            <w:pPr>
              <w:spacing w:after="40"/>
            </w:pPr>
            <w:r>
              <w:rPr>
                <w:sz w:val="18"/>
              </w:rPr>
              <w:t>HELD</w:t>
            </w:r>
          </w:p>
        </w:tc>
        <w:tc>
          <w:tcPr>
            <w:tcW w:type="dxa" w:w="2160"/>
          </w:tcPr>
          <w:p>
            <w:pPr>
              <w:spacing w:after="40"/>
            </w:pPr>
            <w:r>
              <w:rPr>
                <w:sz w:val="18"/>
              </w:rPr>
              <w:t>2.78 points</w:t>
            </w:r>
          </w:p>
        </w:tc>
        <w:tc>
          <w:tcPr>
            <w:tcW w:type="dxa" w:w="2160"/>
          </w:tcPr>
          <w:p>
            <w:pPr>
              <w:spacing w:after="40"/>
            </w:pPr>
            <w:r>
              <w:rPr>
                <w:sz w:val="18"/>
              </w:rPr>
              <w:t>-</w:t>
            </w:r>
          </w:p>
        </w:tc>
      </w:tr>
      <w:tr>
        <w:tc>
          <w:tcPr>
            <w:tcW w:type="dxa" w:w="2160"/>
          </w:tcPr>
          <w:p>
            <w:pPr>
              <w:spacing w:after="40"/>
            </w:pPr>
            <w:r>
              <w:rPr>
                <w:sz w:val="18"/>
              </w:rPr>
              <w:t>P8-1: the frame reduces direct-question usefulness on 600 new benign notes, p&lt;0.05</w:t>
            </w:r>
          </w:p>
        </w:tc>
        <w:tc>
          <w:tcPr>
            <w:tcW w:type="dxa" w:w="2160"/>
          </w:tcPr>
          <w:p>
            <w:pPr>
              <w:spacing w:after="40"/>
            </w:pPr>
            <w:r>
              <w:rPr>
                <w:sz w:val="18"/>
              </w:rPr>
              <w:t>FAILED</w:t>
            </w:r>
          </w:p>
        </w:tc>
        <w:tc>
          <w:tcPr>
            <w:tcW w:type="dxa" w:w="2160"/>
          </w:tcPr>
          <w:p>
            <w:pPr>
              <w:spacing w:after="40"/>
            </w:pPr>
            <w:r>
              <w:rPr>
                <w:sz w:val="18"/>
              </w:rPr>
              <w:t>372 -&gt; 349 of 600, p=0.056</w:t>
            </w:r>
          </w:p>
        </w:tc>
        <w:tc>
          <w:tcPr>
            <w:tcW w:type="dxa" w:w="2160"/>
          </w:tcPr>
          <w:p>
            <w:pPr>
              <w:spacing w:after="40"/>
            </w:pPr>
            <w:r>
              <w:rPr>
                <w:sz w:val="18"/>
              </w:rPr>
              <w:t>0.22</w:t>
            </w:r>
          </w:p>
        </w:tc>
      </w:tr>
      <w:tr>
        <w:tc>
          <w:tcPr>
            <w:tcW w:type="dxa" w:w="2160"/>
          </w:tcPr>
          <w:p>
            <w:pPr>
              <w:spacing w:after="40"/>
            </w:pPr>
            <w:r>
              <w:rPr>
                <w:sz w:val="18"/>
              </w:rPr>
              <w:t>P8-2: the frame reduces own-attack harm (pooled over original + new instances, amendment), p&lt;0.05</w:t>
            </w:r>
          </w:p>
        </w:tc>
        <w:tc>
          <w:tcPr>
            <w:tcW w:type="dxa" w:w="2160"/>
          </w:tcPr>
          <w:p>
            <w:pPr>
              <w:spacing w:after="40"/>
            </w:pPr>
            <w:r>
              <w:rPr>
                <w:sz w:val="18"/>
              </w:rPr>
              <w:t>HELD</w:t>
            </w:r>
          </w:p>
        </w:tc>
        <w:tc>
          <w:tcPr>
            <w:tcW w:type="dxa" w:w="2160"/>
          </w:tcPr>
          <w:p>
            <w:pPr>
              <w:spacing w:after="40"/>
            </w:pPr>
            <w:r>
              <w:rPr>
                <w:sz w:val="18"/>
              </w:rPr>
              <w:t>123 -&gt; 104 of 424, p=0.037 (new 175 alone: 53 -&gt; 44, p_new 0.15)</w:t>
            </w:r>
          </w:p>
        </w:tc>
        <w:tc>
          <w:tcPr>
            <w:tcW w:type="dxa" w:w="2160"/>
          </w:tcPr>
          <w:p>
            <w:pPr>
              <w:spacing w:after="40"/>
            </w:pPr>
            <w:r>
              <w:rPr>
                <w:sz w:val="18"/>
              </w:rPr>
              <w:t>0.19</w:t>
            </w:r>
          </w:p>
        </w:tc>
      </w:tr>
    </w:tbl>
    <w:p>
      <w:pPr>
        <w:spacing w:after="120"/>
      </w:pPr>
      <w:r>
        <w:t>Multiplicity. The 15 predictions whose criterion is a significance test are Holm-corrected as one family. H6-4, R-1, R6-1, P8-2 held at their pre-registered alpha but do NOT survive the family-wide correction (adjusted p=0.16, 0.19, 0.062, 0.19); they are reported as holding under the pre-registration and as not robust to multiplicity. Every other held significance prediction survives.</w:t>
      </w:r>
    </w:p>
    <w:p>
      <w:pPr>
        <w:spacing w:after="200"/>
      </w:pPr>
      <w:r>
        <w:rPr>
          <w:i/>
          <w:sz w:val="18"/>
        </w:rPr>
        <w:t>Table 17. Every round-7 pre-registered prediction, scored mechanically from the artifacts (phase17/report_round7.py): 39/47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a loss of 5.0 points (p=0.082): at the edge of this document's noise floor and not significant, so it is reported as a possible small cost rather than none. The harmful v1 frame, by contrast, cost 10 points.</w:t>
      </w:r>
    </w:p>
    <w:p>
      <w:pPr>
        <w:spacing w:after="120"/>
      </w:pPr>
      <w:r>
        <w:t>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13D).</w:t>
      </w:r>
    </w:p>
    <w:p>
      <w:pPr>
        <w:pStyle w:val="Heading2"/>
      </w:pPr>
      <w:r>
        <w:t>13D. Derived Memory: Laundering Through Consolidation, and a Semantic Containment Fix</w:t>
      </w:r>
    </w:p>
    <w:p>
      <w:pPr>
        <w:spacing w:after="120"/>
      </w:pPr>
      <w:r>
        <w:t>Every result so far treats each poison as a standalone memory. Real memory systems consolidate: an LLM periodically summarises recent memories into a new one. This is the first measurement of what that does to a poison, and it exercises two components Phase 14's live pilot never reached -- the propagation containment guard (no derived memories were ever written, so it had no ancestors) and the backward-chain origin attribution. On this project's 249 own-attack instances (development data; same store, retriever, agent and harm judge as the harm study), 148 of 249 consolidated summaries repeat the poison's claim.</w:t>
      </w:r>
    </w:p>
    <w:p>
      <w:pPr>
        <w:spacing w:after="120"/>
      </w:pPr>
      <w:r>
        <w:t>The consequence is a bypass of provenance. On the 161 instances B13 correctly excludes -- harm zero by the study's own convention -- serving the consolidated summary instead returns the payload: undefended harm 0 to 33 of 161 (p=2e-10). The propagation containment guard as built does almost nothing about it: its lexical lineage-taint withholds 2 of 102 payload-carrying summaries (33 to 31, p=0.5), because a summary is a paraphrase and shares few tokens with its source. Substituting a semantic retention measure into the same guard (sentence-embedding cosine, the same lexical-to-semantic swap as Phase 6's B2s-B8s) withholds 76 and cuts harm to 10 (p=2e-07), at a collateral cost of 4 of 79 benign corroboration-only summaries withheld.</w:t>
      </w:r>
    </w:p>
    <w:tbl>
      <w:tblPr>
        <w:tblStyle w:val="TableGrid"/>
        <w:tblW w:type="auto" w:w="0"/>
        <w:tblLook w:firstColumn="1" w:firstRow="1" w:lastColumn="0" w:lastRow="0" w:noHBand="0" w:noVBand="1" w:val="04A0"/>
      </w:tblPr>
      <w:tblGrid>
        <w:gridCol w:w="4320"/>
        <w:gridCol w:w="4320"/>
      </w:tblGrid>
      <w:tr>
        <w:tc>
          <w:tcPr>
            <w:tcW w:type="dxa" w:w="4320"/>
          </w:tcPr>
          <w:p>
            <w:pPr>
              <w:spacing w:after="40"/>
            </w:pPr>
            <w:r>
              <w:rPr>
                <w:b/>
                <w:sz w:val="18"/>
              </w:rPr>
              <w:t>Policy on a B13-excluded poison</w:t>
            </w:r>
          </w:p>
        </w:tc>
        <w:tc>
          <w:tcPr>
            <w:tcW w:type="dxa" w:w="4320"/>
          </w:tcPr>
          <w:p>
            <w:pPr>
              <w:spacing w:after="40"/>
            </w:pPr>
            <w:r>
              <w:rPr>
                <w:b/>
                <w:sz w:val="18"/>
              </w:rPr>
              <w:t>Harmful of 161</w:t>
            </w:r>
          </w:p>
        </w:tc>
      </w:tr>
      <w:tr>
        <w:tc>
          <w:tcPr>
            <w:tcW w:type="dxa" w:w="4320"/>
          </w:tcPr>
          <w:p>
            <w:pPr>
              <w:spacing w:after="40"/>
            </w:pPr>
            <w:r>
              <w:rPr>
                <w:sz w:val="18"/>
              </w:rPr>
              <w:t>B13 excludes it (study convention)</w:t>
            </w:r>
          </w:p>
        </w:tc>
        <w:tc>
          <w:tcPr>
            <w:tcW w:type="dxa" w:w="4320"/>
          </w:tcPr>
          <w:p>
            <w:pPr>
              <w:spacing w:after="40"/>
            </w:pPr>
            <w:r>
              <w:rPr>
                <w:sz w:val="18"/>
              </w:rPr>
              <w:t>0</w:t>
            </w:r>
          </w:p>
        </w:tc>
      </w:tr>
      <w:tr>
        <w:tc>
          <w:tcPr>
            <w:tcW w:type="dxa" w:w="4320"/>
          </w:tcPr>
          <w:p>
            <w:pPr>
              <w:spacing w:after="40"/>
            </w:pPr>
            <w:r>
              <w:rPr>
                <w:sz w:val="18"/>
              </w:rPr>
              <w:t>+ consolidation serves the summary (laundering)</w:t>
            </w:r>
          </w:p>
        </w:tc>
        <w:tc>
          <w:tcPr>
            <w:tcW w:type="dxa" w:w="4320"/>
          </w:tcPr>
          <w:p>
            <w:pPr>
              <w:spacing w:after="40"/>
            </w:pPr>
            <w:r>
              <w:rPr>
                <w:sz w:val="18"/>
              </w:rPr>
              <w:t>33</w:t>
            </w:r>
          </w:p>
        </w:tc>
      </w:tr>
      <w:tr>
        <w:tc>
          <w:tcPr>
            <w:tcW w:type="dxa" w:w="4320"/>
          </w:tcPr>
          <w:p>
            <w:pPr>
              <w:spacing w:after="40"/>
            </w:pPr>
            <w:r>
              <w:rPr>
                <w:sz w:val="18"/>
              </w:rPr>
              <w:t>+ lexical propagation containment</w:t>
            </w:r>
          </w:p>
        </w:tc>
        <w:tc>
          <w:tcPr>
            <w:tcW w:type="dxa" w:w="4320"/>
          </w:tcPr>
          <w:p>
            <w:pPr>
              <w:spacing w:after="40"/>
            </w:pPr>
            <w:r>
              <w:rPr>
                <w:sz w:val="18"/>
              </w:rPr>
              <w:t>31</w:t>
            </w:r>
          </w:p>
        </w:tc>
      </w:tr>
      <w:tr>
        <w:tc>
          <w:tcPr>
            <w:tcW w:type="dxa" w:w="4320"/>
          </w:tcPr>
          <w:p>
            <w:pPr>
              <w:spacing w:after="40"/>
            </w:pPr>
            <w:r>
              <w:rPr>
                <w:sz w:val="18"/>
              </w:rPr>
              <w:t>+ semantic propagation containment</w:t>
            </w:r>
          </w:p>
        </w:tc>
        <w:tc>
          <w:tcPr>
            <w:tcW w:type="dxa" w:w="4320"/>
          </w:tcPr>
          <w:p>
            <w:pPr>
              <w:spacing w:after="40"/>
            </w:pPr>
            <w:r>
              <w:rPr>
                <w:sz w:val="18"/>
              </w:rPr>
              <w:t>10</w:t>
            </w:r>
          </w:p>
        </w:tc>
      </w:tr>
    </w:tbl>
    <w:p>
      <w:pPr>
        <w:spacing w:after="200"/>
      </w:pPr>
      <w:r>
        <w:rPr>
          <w:i/>
          <w:sz w:val="18"/>
        </w:rPr>
        <w:t>Table 22. Laundering through consolidation on the B13-excluded instances, and the containment guard's lexical vs semantic retention. Source: phase17/data/derived_memory_eval.json.</w:t>
      </w:r>
    </w:p>
    <w:p>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R6_laundering.png"/>
                    <pic:cNvPicPr/>
                  </pic:nvPicPr>
                  <pic:blipFill>
                    <a:blip r:embed="rId10"/>
                    <a:stretch>
                      <a:fillRect/>
                    </a:stretch>
                  </pic:blipFill>
                  <pic:spPr>
                    <a:xfrm>
                      <a:off x="0" y="0"/>
                      <a:ext cx="5760720" cy="3600450"/>
                    </a:xfrm>
                    <a:prstGeom prst="rect"/>
                  </pic:spPr>
                </pic:pic>
              </a:graphicData>
            </a:graphic>
          </wp:inline>
        </w:drawing>
      </w:r>
    </w:p>
    <w:p>
      <w:pPr>
        <w:spacing w:after="200"/>
      </w:pPr>
      <w:r>
        <w:rPr>
          <w:i/>
          <w:sz w:val="18"/>
        </w:rPr>
        <w:t>Figure 2. Laundering through consolidation and the semantic containment fix: a poison B13 excludes returns through the consolidated summary; lexical propagation containment barely acts, the semantic measure nearly eliminates it (confirmed on hold-out 8). Drawn from the artifacts.</w:t>
      </w:r>
    </w:p>
    <w:p>
      <w:pPr>
        <w:spacing w:after="120"/>
      </w:pPr>
      <w:r>
        <w:t>The backward chain, run on the 33 harmful laundered answers, traces 30 to the derived memory and then to an ancestor. Content-only origin attribution names the poison ancestor in 16 of 33 and is ambiguous (its top two ancestors within 0.05 cosine) in 4 -- the lineage ambiguity this project had reported as unreachable by design is, under consolidation, reachable and now measured. With taint states the poison is the only tainted ancestor, so state-informed attribution is unique by construction. This is a development result on a new attack surface, not a clean-hold-out generalisation claim.</w:t>
      </w:r>
    </w:p>
    <w:p>
      <w:pPr>
        <w:pStyle w:val="Heading2"/>
      </w:pPr>
      <w:r>
        <w:t>13E. Hold-Out 8: The Generalized Defenses, Tested Once on Unseen Attacks</w:t>
      </w:r>
    </w:p>
    <w:p>
      <w:pPr>
        <w:spacing w:after="120"/>
      </w:pPr>
      <w:r>
        <w:t>Hold-out 8 is a fourth frozen memory-poisoning / sleeper-shaped corpus (160 attacks, 171 benign; standing instructions, conditional backdoors, fact contradictions, additive fabrications), authored by a different model for a different owner and scored once under predictions committed before it was built (addendum 7). It tests every generalized defense this round introduced. Provenance again beats fusion on memory poisoning: B13 118/160 (73.8%) against B14 69/160 (43.1%), p=4.6e-14 -- the provenance lead holds on a third independent memory-poisoning hold-out.</w:t>
      </w:r>
    </w:p>
    <w:p>
      <w:pPr>
        <w:spacing w:after="120"/>
      </w:pPr>
      <w:r>
        <w:t>The generalized UNION defense (U-1) holds: B13 alone reaches 118, the anomaly signal 59, but their union 141/160 (88.1%) -- and with the supervised detector 148/160 (92.5%) -- beating every single detector on unseen attacks, as on development. No single detector generalises across the attack types; their union does.</w:t>
      </w:r>
    </w:p>
    <w:p>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R5_union_defense.png"/>
                    <pic:cNvPicPr/>
                  </pic:nvPicPr>
                  <pic:blipFill>
                    <a:blip r:embed="rId11"/>
                    <a:stretch>
                      <a:fillRect/>
                    </a:stretch>
                  </pic:blipFill>
                  <pic:spPr>
                    <a:xfrm>
                      <a:off x="0" y="0"/>
                      <a:ext cx="5760720" cy="3600450"/>
                    </a:xfrm>
                    <a:prstGeom prst="rect"/>
                  </pic:spPr>
                </pic:pic>
              </a:graphicData>
            </a:graphic>
          </wp:inline>
        </w:drawing>
      </w:r>
    </w:p>
    <w:p>
      <w:pPr>
        <w:spacing w:after="200"/>
      </w:pPr>
      <w:r>
        <w:rPr>
          <w:i/>
          <w:sz w:val="18"/>
        </w:rPr>
        <w:t>Figure 3. The generalized union defense on development data: provenance and the planted-memory anomaly are each strong on their own attack type and weak elsewhere; their union covers every type. A learned attack-type router does not beat the union. Drawn from the artifacts.</w:t>
      </w:r>
    </w:p>
    <w:p>
      <w:pPr>
        <w:spacing w:after="120"/>
      </w:pPr>
      <w:r>
        <w:t>Self-propagation generalises (L8-1, L8-2): 138/160 consolidated summaries carry the payload, and on the 108 that launder a B13-excluded poison, lexical propagation containment admits 93 of them while the SEMANTIC measure admits 12 -- the development finding (Section 13D) reproduced on a clean hold-out.</w:t>
      </w:r>
    </w:p>
    <w:p>
      <w:pPr>
        <w:spacing w:after="120"/>
      </w:pPr>
      <w:r>
        <w:t>Sleeper generalises (S8-2): the dedicated admission guard flags 0/160 (Finding A, confirmed on fresh data), but the content-independent embedding-anomaly signal flags 145/160 (90.6%) at 9 benign false positives -- a planted-memory detector that catches dormant sleepers the dedicated guard cannot.</w:t>
      </w:r>
    </w:p>
    <w:p>
      <w:pPr>
        <w:spacing w:after="120"/>
      </w:pPr>
      <w:r>
        <w:t>The instruction-aware frame generalises (F8-1): on the 81 rule-stating attacks, harm is 65 raw, 51 under the current frame and 44 under v6. Every defence introduced this round that was pre-registered for hold-out 8 held on it.</w:t>
      </w:r>
    </w:p>
    <w:p>
      <w:pPr>
        <w:spacing w:after="120"/>
      </w:pPr>
      <w:r>
        <w:t>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p>
      <w:r>
        <w:drawing>
          <wp:inline xmlns:a="http://schemas.openxmlformats.org/drawingml/2006/main" xmlns:pic="http://schemas.openxmlformats.org/drawingml/2006/picture">
            <wp:extent cx="5760720" cy="2982020"/>
            <wp:docPr id="4" name="Picture 4"/>
            <wp:cNvGraphicFramePr>
              <a:graphicFrameLocks noChangeAspect="1"/>
            </wp:cNvGraphicFramePr>
            <a:graphic>
              <a:graphicData uri="http://schemas.openxmlformats.org/drawingml/2006/picture">
                <pic:pic>
                  <pic:nvPicPr>
                    <pic:cNvPr id="0" name="R3_adaptive.png"/>
                    <pic:cNvPicPr/>
                  </pic:nvPicPr>
                  <pic:blipFill>
                    <a:blip r:embed="rId12"/>
                    <a:stretch>
                      <a:fillRect/>
                    </a:stretch>
                  </pic:blipFill>
                  <pic:spPr>
                    <a:xfrm>
                      <a:off x="0" y="0"/>
                      <a:ext cx="5760720" cy="2982020"/>
                    </a:xfrm>
                    <a:prstGeom prst="rect"/>
                  </pic:spPr>
                </pic:pic>
              </a:graphicData>
            </a:graphic>
          </wp:inline>
        </w:drawing>
      </w:r>
    </w:p>
    <w:p>
      <w:pPr>
        <w:spacing w:after="200"/>
      </w:pPr>
      <w:r>
        <w:rPr>
          <w:i/>
          <w:sz w:val="18"/>
        </w:rPr>
        <w:t>Figure 4. Adaptive evasion within five feedback-guided rewrites: stateless detection and corroboration, each alone and behind the rejection ledger at radius 0.95. Development data.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0.6%</w:t>
            </w:r>
          </w:p>
        </w:tc>
        <w:tc>
          <w:tcPr>
            <w:tcW w:type="dxa" w:w="1728"/>
          </w:tcPr>
          <w:p>
            <w:pPr>
              <w:spacing w:after="40"/>
            </w:pPr>
            <w:r>
              <w:rPr>
                <w:sz w:val="18"/>
              </w:rPr>
              <w:t>32.0%</w:t>
            </w:r>
          </w:p>
        </w:tc>
        <w:tc>
          <w:tcPr>
            <w:tcW w:type="dxa" w:w="1728"/>
          </w:tcPr>
          <w:p>
            <w:pPr>
              <w:spacing w:after="40"/>
            </w:pPr>
            <w:r>
              <w:rPr>
                <w:sz w:val="18"/>
              </w:rPr>
              <w:t>10.4%</w:t>
            </w:r>
          </w:p>
        </w:tc>
        <w:tc>
          <w:tcPr>
            <w:tcW w:type="dxa" w:w="1728"/>
          </w:tcPr>
          <w:p>
            <w:pPr>
              <w:spacing w:after="40"/>
            </w:pPr>
            <w:r>
              <w:rPr>
                <w:sz w:val="18"/>
              </w:rPr>
              <w:t>2.2e-18</w:t>
            </w:r>
          </w:p>
        </w:tc>
      </w:tr>
      <w:tr>
        <w:tc>
          <w:tcPr>
            <w:tcW w:type="dxa" w:w="1728"/>
          </w:tcPr>
          <w:p>
            <w:pPr>
              <w:spacing w:after="40"/>
            </w:pPr>
            <w:r>
              <w:rPr>
                <w:sz w:val="18"/>
              </w:rPr>
              <w:t>J2_gemini_original</w:t>
            </w:r>
          </w:p>
        </w:tc>
        <w:tc>
          <w:tcPr>
            <w:tcW w:type="dxa" w:w="1728"/>
          </w:tcPr>
          <w:p>
            <w:pPr>
              <w:spacing w:after="40"/>
            </w:pPr>
            <w:r>
              <w:rPr>
                <w:sz w:val="18"/>
              </w:rPr>
              <w:t>2.3%</w:t>
            </w:r>
          </w:p>
        </w:tc>
        <w:tc>
          <w:tcPr>
            <w:tcW w:type="dxa" w:w="1728"/>
          </w:tcPr>
          <w:p>
            <w:pPr>
              <w:spacing w:after="40"/>
            </w:pPr>
            <w:r>
              <w:rPr>
                <w:sz w:val="18"/>
              </w:rPr>
              <w:t>58.3%</w:t>
            </w:r>
          </w:p>
        </w:tc>
        <w:tc>
          <w:tcPr>
            <w:tcW w:type="dxa" w:w="1728"/>
          </w:tcPr>
          <w:p>
            <w:pPr>
              <w:spacing w:after="40"/>
            </w:pPr>
            <w:r>
              <w:rPr>
                <w:sz w:val="18"/>
              </w:rPr>
              <w:t>24.6%</w:t>
            </w:r>
          </w:p>
        </w:tc>
        <w:tc>
          <w:tcPr>
            <w:tcW w:type="dxa" w:w="1728"/>
          </w:tcPr>
          <w:p>
            <w:pPr>
              <w:spacing w:after="40"/>
            </w:pPr>
            <w:r>
              <w:rPr>
                <w:sz w:val="18"/>
              </w:rPr>
              <w:t>3.6e-29</w:t>
            </w:r>
          </w:p>
        </w:tc>
      </w:tr>
    </w:tbl>
    <w:p>
      <w:pPr>
        <w:spacing w:after="200"/>
      </w:pPr>
      <w:r>
        <w:rPr>
          <w:i/>
          <w:sz w:val="18"/>
        </w:rPr>
        <w:t>Table 19. The harm study re-judged on identical full-text answers by the original judge and by the judge adopted against held-back human labels (J2_gemini_original) (309 instances). The original judge's figures elsewhere in this document stand as measured. Source: phase17/data/harm_rejudged.json.</w:t>
      </w:r>
    </w:p>
    <w:p>
      <w:r>
        <w:drawing>
          <wp:inline xmlns:a="http://schemas.openxmlformats.org/drawingml/2006/main" xmlns:pic="http://schemas.openxmlformats.org/drawingml/2006/picture">
            <wp:extent cx="5760720" cy="2534717"/>
            <wp:docPr id="5" name="Picture 5"/>
            <wp:cNvGraphicFramePr>
              <a:graphicFrameLocks noChangeAspect="1"/>
            </wp:cNvGraphicFramePr>
            <a:graphic>
              <a:graphicData uri="http://schemas.openxmlformats.org/drawingml/2006/picture">
                <pic:pic>
                  <pic:nvPicPr>
                    <pic:cNvPr id="0" name="R2_harm.png"/>
                    <pic:cNvPicPr/>
                  </pic:nvPicPr>
                  <pic:blipFill>
                    <a:blip r:embed="rId13"/>
                    <a:stretch>
                      <a:fillRect/>
                    </a:stretch>
                  </pic:blipFill>
                  <pic:spPr>
                    <a:xfrm>
                      <a:off x="0" y="0"/>
                      <a:ext cx="5760720" cy="2534717"/>
                    </a:xfrm>
                    <a:prstGeom prst="rect"/>
                  </pic:spPr>
                </pic:pic>
              </a:graphicData>
            </a:graphic>
          </wp:inline>
        </w:drawing>
      </w:r>
    </w:p>
    <w:p>
      <w:pPr>
        <w:spacing w:after="200"/>
      </w:pPr>
      <w:r>
        <w:rPr>
          <w:i/>
          <w:sz w:val="18"/>
        </w:rPr>
        <w:t>Figure 5. Left: the harm study's four arms with 95% Wilson intervals (original judge). Right: the same undefended answers scored by the original judge and by the judge adopted against held-back human labels.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Phase 10's risk-weighted retrieval ranking, evaluated for the first time (pre-registration addendum 5). It was built and unit-tested in Phase 10 but never measured: the offline pipeline gives every candidate one constant retrieval score, and Phase 14's live path is exclusion-only, so a downrank changed nothing there. On the 309 harm-study stores, re-ranking the top 20 and passing the top 5 to the agent, the poison reached the agent in 89 cases undefended, 88 under the fixed-gate consensus guard, 88 under risk-weighted ranking alone and 82 when the admission guard's fired signals were supplied as corroboration (+0/-6 against the fixed gate, p=0.031), displacing 0.0 points of benign memories. Both readings are narrow and the reason is measured, not assumed: the fixed gate's lexical divergence is positive for only 120/6180 candidates, so it almost never acts on a realistic store (prediction R-4 FAILED: the existing guard does not measurably reduce exposure), and corroboration can only help where an admission signal fired -- on the poison in 28 of 309 instances and on no benign memory.</w:t>
      </w:r>
    </w:p>
    <w:p>
      <w:pPr>
        <w:spacing w:after="120"/>
      </w:pPr>
      <w:r>
        <w:t>Phase 10's risk-weighted MONITORING, evaluated for the first time (development data; it only orders a review queue, so the question is whether real poison reaches the top). In realistic retrieval pools -- the top 20 memories for each of 309 harm-study tasks -- B9 puts the poison on the review list in only 43 retrievals, and the lists are short (on average 0.75 items, 0.61 of them benign). When the poison is listed, risk ordering puts it first in 39 of 43 cases against 33.5 expected from the default order: the surface works as designed but has little to do. A first design that pooled unrelated items at random gave a much larger gain (precision 100% in the first 50 against 43%) but is reported only as an artifact: in a pool of unrelated items lexical divergence is positive for every item, so B9 routed 1706 of 1858 items to validation -- a queue no reviewer would face.</w:t>
      </w:r>
    </w:p>
    <w:p>
      <w:pPr>
        <w:spacing w:after="120"/>
      </w:pPr>
      <w:r>
        <w:t>Replication on fresh stores (pre-registration addendum 6: LoCoMo conversations no phase-17 measurement had used). Corroboration's gain replicated: 76 -&gt; 68 of 309 against the fixed gate (+0/-8, p=0.0078), so across the two independent store sets it removes the poison from the context in 14 cases and adds it in none. The lexical fixed gate again did nothing (76 -&gt; 76); the semantic gate, pre-specified as an arm but carrying no prediction, did act on these stores (76 -&gt; 67, p=0.0039, at 2.78 points of benign displacement) where on the original stores it had not -- so its single-poison benefit is store-dependent, and is reported as such.</w:t>
      </w:r>
    </w:p>
    <w:p>
      <w:pPr>
        <w:spacing w:after="120"/>
      </w:pPr>
      <w:r>
        <w:t>The consensus guard on the threat it was built for (addendum 6). The guard flags clusters of near-duplicate memories, and a single planted poison is never a cluster -- the diagnosis behind R-4's failure. With each poison planted alongside two NLI-validated paraphrases (a coordinated campaign; 302 instances, 7 excluded for lacking two valid paraphrases), any copy reached the agent in 99 cases undefended, 100 under the lexical gate and 63 under the semantic gate (p=2.9e-11 against none), at 2.78 points of benign displacement; with corroboration, 60. Read together: the retrieval guard is inert against a single poison and effective against a coordinated campaign once its divergence is semantic.</w:t>
      </w:r>
    </w:p>
    <w:p>
      <w:r>
        <w:drawing>
          <wp:inline xmlns:a="http://schemas.openxmlformats.org/drawingml/2006/main" xmlns:pic="http://schemas.openxmlformats.org/drawingml/2006/picture">
            <wp:extent cx="5760720" cy="2816352"/>
            <wp:docPr id="6" name="Picture 6"/>
            <wp:cNvGraphicFramePr>
              <a:graphicFrameLocks noChangeAspect="1"/>
            </wp:cNvGraphicFramePr>
            <a:graphic>
              <a:graphicData uri="http://schemas.openxmlformats.org/drawingml/2006/picture">
                <pic:pic>
                  <pic:nvPicPr>
                    <pic:cNvPr id="0" name="R4_retrieval.png"/>
                    <pic:cNvPicPr/>
                  </pic:nvPicPr>
                  <pic:blipFill>
                    <a:blip r:embed="rId14"/>
                    <a:stretch>
                      <a:fillRect/>
                    </a:stretch>
                  </pic:blipFill>
                  <pic:spPr>
                    <a:xfrm>
                      <a:off x="0" y="0"/>
                      <a:ext cx="5760720" cy="2816352"/>
                    </a:xfrm>
                    <a:prstGeom prst="rect"/>
                  </pic:spPr>
                </pic:pic>
              </a:graphicData>
            </a:graphic>
          </wp:inline>
        </w:drawing>
      </w:r>
    </w:p>
    <w:p>
      <w:pPr>
        <w:spacing w:after="200"/>
      </w:pPr>
      <w:r>
        <w:rPr>
          <w:i/>
          <w:sz w:val="18"/>
        </w:rPr>
        <w:t>Figure 6. How often the poison reaches the agent's top five on fresh stores, for a single poison and for a coordinated campaign (poison plus two paraphrases), under each retrieval arm. Development data.</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16;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20.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 which is the case for reporting both denominators, not a property of any one defense.</w:t>
      </w:r>
    </w:p>
    <w:p>
      <w:pPr>
        <w:pStyle w:val="Heading2"/>
      </w:pPr>
      <w:r>
        <w:t>13C. Round 7 in Brief</w:t>
      </w:r>
    </w:p>
    <w:p>
      <w:pPr>
        <w:spacing w:after="120"/>
      </w:pPr>
      <w:r>
        <w:t>Round 7 tested this project's own claims against data built to break them. Of 47 pre-registered predictions 39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w:t>
      </w:r>
    </w:p>
    <w:p>
      <w:pPr>
        <w:pStyle w:val="Heading1"/>
      </w:pPr>
      <w:r>
        <w:t>14. Standard of Evidence and Limitations</w:t>
      </w:r>
    </w:p>
    <w:p>
      <w:pPr>
        <w:spacing w:after="120"/>
      </w:pPr>
      <w:r>
        <w:t>This document holds every claim to a fixed standard: each rate is reported on both denominators with its false-positive cost; frozen hold-outs are scored once under predictions committed beforehand; differences below the measured noise floor are not claimed; and the family of significance predictions is multiplicity-corrected. The whole-project test suite and a mutation registry (which verifies that each past error would still be caught) are run before every build, and this document is generated from the artifacts so it cannot drift from them.</w:t>
      </w:r>
    </w:p>
    <w:p>
      <w:pPr>
        <w:spacing w:after="120"/>
      </w:pPr>
      <w:r>
        <w:t>The limitations are stated where the numbers appear, not hidden: the harm LEVELS rest on an LLM judge that two independent blind annotators found to under-count harm (Section 13A), so undefended harm is reported beside a human-validated judge that finds it roughly twice as high; the human check rests on 100 items; several results hold at their pre-registered alpha but not after the family-wide correction (Table 17); the learned graph models stay at parity, not improvement, at this data scale; and the propagation and sleeper guards are exercised in constructed settings rather than the single-poison live pilot. AgentPoison is weaker than its published form and four of MPBench's attack classes need a tool-using victim this architecture does not have -- both reported as future work.</w:t>
      </w:r>
    </w:p>
    <w:p>
      <w:pPr>
        <w:pStyle w:val="Heading1"/>
      </w:pPr>
      <w:r>
        <w:t>Definitions and Formulas</w:t>
      </w:r>
    </w:p>
    <w:p>
      <w:pPr>
        <w:spacing w:after="120"/>
      </w:pPr>
      <w:r>
        <w:t>Every reported number is a count turned into a rate or a test by one of the formulas below; each names the code that computes it, constants included, so any figure in this document can be recomputed from its counts. The same table appears in the methodology.</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Quantity</w:t>
            </w:r>
          </w:p>
        </w:tc>
        <w:tc>
          <w:tcPr>
            <w:tcW w:type="dxa" w:w="2880"/>
          </w:tcPr>
          <w:p>
            <w:pPr>
              <w:spacing w:after="40"/>
            </w:pPr>
            <w:r>
              <w:rPr>
                <w:b/>
                <w:sz w:val="18"/>
              </w:rPr>
              <w:t>Formula</w:t>
            </w:r>
          </w:p>
        </w:tc>
        <w:tc>
          <w:tcPr>
            <w:tcW w:type="dxa" w:w="2880"/>
          </w:tcPr>
          <w:p>
            <w:pPr>
              <w:spacing w:after="40"/>
            </w:pPr>
            <w:r>
              <w:rPr>
                <w:b/>
                <w:sz w:val="18"/>
              </w:rPr>
              <w:t>Computed in</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Rate and 95% Wilson interval</w:t>
            </w:r>
          </w:p>
        </w:tc>
        <w:tc>
          <w:tcPr>
            <w:tcW w:type="dxa" w:w="2880"/>
          </w:tcPr>
          <w:p>
            <w:pPr>
              <w:spacing w:after="40"/>
            </w:pPr>
            <w:r>
              <w:rPr>
                <w:sz w:val="18"/>
              </w:rPr>
              <w:t>p̂ = k / n;  CI = [ p̂ + z²/2n ± z·√( p̂(1−p̂)/n + z²/4n² ) ] / (1 + z²/n),  z = 1.96</w:t>
            </w:r>
          </w:p>
        </w:tc>
        <w:tc>
          <w:tcPr>
            <w:tcW w:type="dxa" w:w="2880"/>
          </w:tcPr>
          <w:p>
            <w:pPr>
              <w:spacing w:after="40"/>
            </w:pPr>
            <w:r>
              <w:rPr>
                <w:sz w:val="18"/>
              </w:rPr>
              <w:t>phase17/stats.py: wilson_interval</w:t>
            </w:r>
          </w:p>
        </w:tc>
      </w:tr>
      <w:tr>
        <w:tc>
          <w:tcPr>
            <w:tcW w:type="dxa" w:w="2880"/>
          </w:tcPr>
          <w:p>
            <w:pPr>
              <w:spacing w:after="40"/>
            </w:pPr>
            <w:r>
              <w:rPr>
                <w:sz w:val="18"/>
              </w:rPr>
              <w:t>Paired comparison: exact McNemar</w:t>
            </w:r>
          </w:p>
        </w:tc>
        <w:tc>
          <w:tcPr>
            <w:tcW w:type="dxa" w:w="2880"/>
          </w:tcPr>
          <w:p>
            <w:pPr>
              <w:spacing w:after="40"/>
            </w:pPr>
            <w:r>
              <w:rPr>
                <w:sz w:val="18"/>
              </w:rPr>
              <w:t>b = items only arm A flags, c = items only arm B flags;  p = min(1, 2·Σ_{i=0}^{min(b,c)} C(b+c, i)·2^−(b+c))</w:t>
            </w:r>
          </w:p>
        </w:tc>
        <w:tc>
          <w:tcPr>
            <w:tcW w:type="dxa" w:w="2880"/>
          </w:tcPr>
          <w:p>
            <w:pPr>
              <w:spacing w:after="40"/>
            </w:pPr>
            <w:r>
              <w:rPr>
                <w:sz w:val="18"/>
              </w:rPr>
              <w:t>phase17/stats.py: exact_mcnemar_p, paired_delta</w:t>
            </w:r>
          </w:p>
        </w:tc>
      </w:tr>
      <w:tr>
        <w:tc>
          <w:tcPr>
            <w:tcW w:type="dxa" w:w="2880"/>
          </w:tcPr>
          <w:p>
            <w:pPr>
              <w:spacing w:after="40"/>
            </w:pPr>
            <w:r>
              <w:rPr>
                <w:sz w:val="18"/>
              </w:rPr>
              <w:t>Multiplicity: Holm correction</w:t>
            </w:r>
          </w:p>
        </w:tc>
        <w:tc>
          <w:tcPr>
            <w:tcW w:type="dxa" w:w="2880"/>
          </w:tcPr>
          <w:p>
            <w:pPr>
              <w:spacing w:after="40"/>
            </w:pPr>
            <w:r>
              <w:rPr>
                <w:sz w:val="18"/>
              </w:rPr>
              <w:t>order the m p-values p(1) ≤ … ≤ p(m);  p̃(i) = max_{j ≤ i} min(1, (m − j + 1)·p(j));  holds if p̃ &lt; 0.05</w:t>
            </w:r>
          </w:p>
        </w:tc>
        <w:tc>
          <w:tcPr>
            <w:tcW w:type="dxa" w:w="2880"/>
          </w:tcPr>
          <w:p>
            <w:pPr>
              <w:spacing w:after="40"/>
            </w:pPr>
            <w:r>
              <w:rPr>
                <w:sz w:val="18"/>
              </w:rPr>
              <w:t>phase17/report_round7.py (one family: every prediction with a p &lt; 0.05 criterion)</w:t>
            </w:r>
          </w:p>
        </w:tc>
      </w:tr>
      <w:tr>
        <w:tc>
          <w:tcPr>
            <w:tcW w:type="dxa" w:w="2880"/>
          </w:tcPr>
          <w:p>
            <w:pPr>
              <w:spacing w:after="40"/>
            </w:pPr>
            <w:r>
              <w:rPr>
                <w:sz w:val="18"/>
              </w:rPr>
              <w:t>Unpaired comparison of two rates: Fisher exact</w:t>
            </w:r>
          </w:p>
        </w:tc>
        <w:tc>
          <w:tcPr>
            <w:tcW w:type="dxa" w:w="2880"/>
          </w:tcPr>
          <w:p>
            <w:pPr>
              <w:spacing w:after="40"/>
            </w:pPr>
            <w:r>
              <w:rPr>
                <w:sz w:val="18"/>
              </w:rPr>
              <w:t>2×2 table [[a, n₁−a], [c, n₂−c]];  two-sided p = Σ of hypergeometric probabilities ≤ that of the observed table</w:t>
            </w:r>
          </w:p>
        </w:tc>
        <w:tc>
          <w:tcPr>
            <w:tcW w:type="dxa" w:w="2880"/>
          </w:tcPr>
          <w:p>
            <w:pPr>
              <w:spacing w:after="40"/>
            </w:pPr>
            <w:r>
              <w:rPr>
                <w:sz w:val="18"/>
              </w:rPr>
              <w:t>adaptive evasion against the stateless reference 32/130 (scipy.stats.fisher_exact)</w:t>
            </w:r>
          </w:p>
        </w:tc>
      </w:tr>
      <w:tr>
        <w:tc>
          <w:tcPr>
            <w:tcW w:type="dxa" w:w="2880"/>
          </w:tcPr>
          <w:p>
            <w:pPr>
              <w:spacing w:after="40"/>
            </w:pPr>
            <w:r>
              <w:rPr>
                <w:sz w:val="18"/>
              </w:rPr>
              <w:t>Agreement: Cohen's κ</w:t>
            </w:r>
          </w:p>
        </w:tc>
        <w:tc>
          <w:tcPr>
            <w:tcW w:type="dxa" w:w="2880"/>
          </w:tcPr>
          <w:p>
            <w:pPr>
              <w:spacing w:after="40"/>
            </w:pPr>
            <w:r>
              <w:rPr>
                <w:sz w:val="18"/>
              </w:rPr>
              <w:t>κ = (p_o − p_e) / (1 − p_e);  p_e = p_A·p_B + (1 − p_A)(1 − p_B)</w:t>
            </w:r>
          </w:p>
        </w:tc>
        <w:tc>
          <w:tcPr>
            <w:tcW w:type="dxa" w:w="2880"/>
          </w:tcPr>
          <w:p>
            <w:pPr>
              <w:spacing w:after="40"/>
            </w:pPr>
            <w:r>
              <w:rPr>
                <w:sz w:val="18"/>
              </w:rPr>
              <w:t>phase17/human_labels.py, phase17/harm_judge_fix.py</w:t>
            </w:r>
          </w:p>
        </w:tc>
      </w:tr>
      <w:tr>
        <w:tc>
          <w:tcPr>
            <w:tcW w:type="dxa" w:w="2880"/>
          </w:tcPr>
          <w:p>
            <w:pPr>
              <w:spacing w:after="40"/>
            </w:pPr>
            <w:r>
              <w:rPr>
                <w:sz w:val="18"/>
              </w:rPr>
              <w:t>Power check before any paired design</w:t>
            </w:r>
          </w:p>
        </w:tc>
        <w:tc>
          <w:tcPr>
            <w:tcW w:type="dxa" w:w="2880"/>
          </w:tcPr>
          <w:p>
            <w:pPr>
              <w:spacing w:after="40"/>
            </w:pPr>
            <w:r>
              <w:rPr>
                <w:sz w:val="18"/>
              </w:rPr>
              <w:t>m* = smallest m with 2·2^−m ≤ α (m* = 6 at α = 0.05);  refuse unless n_at_risk·r ≥ 2·m*</w:t>
            </w:r>
          </w:p>
        </w:tc>
        <w:tc>
          <w:tcPr>
            <w:tcW w:type="dxa" w:w="2880"/>
          </w:tcPr>
          <w:p>
            <w:pPr>
              <w:spacing w:after="40"/>
            </w:pPr>
            <w:r>
              <w:rPr>
                <w:sz w:val="18"/>
              </w:rPr>
              <w:t>phase17/stats.py: require_power</w:t>
            </w:r>
          </w:p>
        </w:tc>
      </w:tr>
      <w:tr>
        <w:tc>
          <w:tcPr>
            <w:tcW w:type="dxa" w:w="2880"/>
          </w:tcPr>
          <w:p>
            <w:pPr>
              <w:spacing w:after="40"/>
            </w:pPr>
            <w:r>
              <w:rPr>
                <w:sz w:val="18"/>
              </w:rPr>
              <w:t>Noise floor for an n-item comparison</w:t>
            </w:r>
          </w:p>
        </w:tc>
        <w:tc>
          <w:tcPr>
            <w:tcW w:type="dxa" w:w="2880"/>
          </w:tcPr>
          <w:p>
            <w:pPr>
              <w:spacing w:after="40"/>
            </w:pPr>
            <w:r>
              <w:rPr>
                <w:sz w:val="18"/>
              </w:rPr>
              <w:t>f(n) = 5·√(120 / n) percentage points (5 points at n = 120; measured run-to-run SD 0.8–1.7)</w:t>
            </w:r>
          </w:p>
        </w:tc>
        <w:tc>
          <w:tcPr>
            <w:tcW w:type="dxa" w:w="2880"/>
          </w:tcPr>
          <w:p>
            <w:pPr>
              <w:spacing w:after="40"/>
            </w:pPr>
            <w:r>
              <w:rPr>
                <w:sz w:val="18"/>
              </w:rPr>
              <w:t>phase17/publishability.py: floor</w:t>
            </w:r>
          </w:p>
        </w:tc>
      </w:tr>
      <w:tr>
        <w:tc>
          <w:tcPr>
            <w:tcW w:type="dxa" w:w="2880"/>
          </w:tcPr>
          <w:p>
            <w:pPr>
              <w:spacing w:after="40"/>
            </w:pPr>
            <w:r>
              <w:rPr>
                <w:sz w:val="18"/>
              </w:rPr>
              <w:t>MEASUREMENT</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Working attack</w:t>
            </w:r>
          </w:p>
        </w:tc>
        <w:tc>
          <w:tcPr>
            <w:tcW w:type="dxa" w:w="2880"/>
          </w:tcPr>
          <w:p>
            <w:pPr>
              <w:spacing w:after="40"/>
            </w:pPr>
            <w:r>
              <w:rPr>
                <w:sz w:val="18"/>
              </w:rPr>
              <w:t>W = { i : agent complies with memory(i) ∧ ¬ complies without it ∧ mechanism(i) };  reportable iff (1/n)·Σ complies-without ≤ 0.20</w:t>
            </w:r>
          </w:p>
        </w:tc>
        <w:tc>
          <w:tcPr>
            <w:tcW w:type="dxa" w:w="2880"/>
          </w:tcPr>
          <w:p>
            <w:pPr>
              <w:spacing w:after="40"/>
            </w:pPr>
            <w:r>
              <w:rPr>
                <w:sz w:val="18"/>
              </w:rPr>
              <w:t>phase17/working_set.py (MAX_PROBE_BASE_RATE = 0.20)</w:t>
            </w:r>
          </w:p>
        </w:tc>
      </w:tr>
      <w:tr>
        <w:tc>
          <w:tcPr>
            <w:tcW w:type="dxa" w:w="2880"/>
          </w:tcPr>
          <w:p>
            <w:pPr>
              <w:spacing w:after="40"/>
            </w:pPr>
            <w:r>
              <w:rPr>
                <w:sz w:val="18"/>
              </w:rPr>
              <w:t>Recall on both denominators; false-positive rate</w:t>
            </w:r>
          </w:p>
        </w:tc>
        <w:tc>
          <w:tcPr>
            <w:tcW w:type="dxa" w:w="2880"/>
          </w:tcPr>
          <w:p>
            <w:pPr>
              <w:spacing w:after="40"/>
            </w:pPr>
            <w:r>
              <w:rPr>
                <w:sz w:val="18"/>
              </w:rPr>
              <w:t>recall = |flagged ∩ A| / |A|;  recall_W = |flagged ∩ W| / |W|;  FPR = |flagged ∩ B| / |B|  (A attacks, B benign)</w:t>
            </w:r>
          </w:p>
        </w:tc>
        <w:tc>
          <w:tcPr>
            <w:tcW w:type="dxa" w:w="2880"/>
          </w:tcPr>
          <w:p>
            <w:pPr>
              <w:spacing w:after="40"/>
            </w:pPr>
            <w:r>
              <w:rPr>
                <w:sz w:val="18"/>
              </w:rPr>
              <w:t>every evaluation module</w:t>
            </w:r>
          </w:p>
        </w:tc>
      </w:tr>
      <w:tr>
        <w:tc>
          <w:tcPr>
            <w:tcW w:type="dxa" w:w="2880"/>
          </w:tcPr>
          <w:p>
            <w:pPr>
              <w:spacing w:after="40"/>
            </w:pPr>
            <w:r>
              <w:rPr>
                <w:sz w:val="18"/>
              </w:rPr>
              <w:t>Near-duplicate test</w:t>
            </w:r>
          </w:p>
        </w:tc>
        <w:tc>
          <w:tcPr>
            <w:tcW w:type="dxa" w:w="2880"/>
          </w:tcPr>
          <w:p>
            <w:pPr>
              <w:spacing w:after="40"/>
            </w:pPr>
            <w:r>
              <w:rPr>
                <w:sz w:val="18"/>
              </w:rPr>
              <w:t>c(a, R) = max_{r ∈ R} |S₅(a) ∩ S₅(r)| / |S₅(a)|, S₅ = word 5-grams after stripping wrappers;  near-copy iff c ≥ 0.6</w:t>
            </w:r>
          </w:p>
        </w:tc>
        <w:tc>
          <w:tcPr>
            <w:tcW w:type="dxa" w:w="2880"/>
          </w:tcPr>
          <w:p>
            <w:pPr>
              <w:spacing w:after="40"/>
            </w:pPr>
            <w:r>
              <w:rPr>
                <w:sz w:val="18"/>
              </w:rPr>
              <w:t>phase17/near_dup.py</w:t>
            </w:r>
          </w:p>
        </w:tc>
      </w:tr>
      <w:tr>
        <w:tc>
          <w:tcPr>
            <w:tcW w:type="dxa" w:w="2880"/>
          </w:tcPr>
          <w:p>
            <w:pPr>
              <w:spacing w:after="40"/>
            </w:pPr>
            <w:r>
              <w:rPr>
                <w:sz w:val="18"/>
              </w:rPr>
              <w:t>Exposure and benign displacement (retrieval ranking)</w:t>
            </w:r>
          </w:p>
        </w:tc>
        <w:tc>
          <w:tcPr>
            <w:tcW w:type="dxa" w:w="2880"/>
          </w:tcPr>
          <w:p>
            <w:pPr>
              <w:spacing w:after="40"/>
            </w:pPr>
            <w:r>
              <w:rPr>
                <w:sz w:val="18"/>
              </w:rPr>
              <w:t>exposure = (1/N)·Σ 1[poison ∈ Top_k(arm)];  displacement = (1/kN)·Σ |Top_k(A0) ∖ Top_k(arm)|, on stores without the poison</w:t>
            </w:r>
          </w:p>
        </w:tc>
        <w:tc>
          <w:tcPr>
            <w:tcW w:type="dxa" w:w="2880"/>
          </w:tcPr>
          <w:p>
            <w:pPr>
              <w:spacing w:after="40"/>
            </w:pPr>
            <w:r>
              <w:rPr>
                <w:sz w:val="18"/>
              </w:rPr>
              <w:t>phase17/risk_weighted_retrieval_eval.py (k = 5, pool 20)</w:t>
            </w:r>
          </w:p>
        </w:tc>
      </w:tr>
      <w:tr>
        <w:tc>
          <w:tcPr>
            <w:tcW w:type="dxa" w:w="2880"/>
          </w:tcPr>
          <w:p>
            <w:pPr>
              <w:spacing w:after="40"/>
            </w:pPr>
            <w:r>
              <w:rPr>
                <w:sz w:val="18"/>
              </w:rPr>
              <w:t>Ranking a review queue</w:t>
            </w:r>
          </w:p>
        </w:tc>
        <w:tc>
          <w:tcPr>
            <w:tcW w:type="dxa" w:w="2880"/>
          </w:tcPr>
          <w:p>
            <w:pPr>
              <w:spacing w:after="40"/>
            </w:pPr>
            <w:r>
              <w:rPr>
                <w:sz w:val="18"/>
              </w:rPr>
              <w:t>precision@k = |P ∩ first k| / k;  AP = (1/|P|)·Σ_k precision@k·1[item_k ∈ P]</w:t>
            </w:r>
          </w:p>
        </w:tc>
        <w:tc>
          <w:tcPr>
            <w:tcW w:type="dxa" w:w="2880"/>
          </w:tcPr>
          <w:p>
            <w:pPr>
              <w:spacing w:after="40"/>
            </w:pPr>
            <w:r>
              <w:rPr>
                <w:sz w:val="18"/>
              </w:rPr>
              <w:t>phase17/risk_monitoring_eval.py</w:t>
            </w:r>
          </w:p>
        </w:tc>
      </w:tr>
      <w:tr>
        <w:tc>
          <w:tcPr>
            <w:tcW w:type="dxa" w:w="2880"/>
          </w:tcPr>
          <w:p>
            <w:pPr>
              <w:spacing w:after="40"/>
            </w:pPr>
            <w:r>
              <w:rPr>
                <w:sz w:val="18"/>
              </w:rPr>
              <w:t>Compliance judge (majority vote, round 2)</w:t>
            </w:r>
          </w:p>
        </w:tc>
        <w:tc>
          <w:tcPr>
            <w:tcW w:type="dxa" w:w="2880"/>
          </w:tcPr>
          <w:p>
            <w:pPr>
              <w:spacing w:after="40"/>
            </w:pPr>
            <w:r>
              <w:rPr>
                <w:sz w:val="18"/>
              </w:rPr>
              <w:t>comply(x) = 1[ C0(x) + C1(x) + C3(x) ≥ 2 ]  (llama3.1 original prompt, llama3.1 rubric, mistral rubric);  reported beside C0, never instead of it</w:t>
            </w:r>
          </w:p>
        </w:tc>
        <w:tc>
          <w:tcPr>
            <w:tcW w:type="dxa" w:w="2880"/>
          </w:tcPr>
          <w:p>
            <w:pPr>
              <w:spacing w:after="40"/>
            </w:pPr>
            <w:r>
              <w:rPr>
                <w:sz w:val="18"/>
              </w:rPr>
              <w:t>phase17/compliance_judge_fix.py (selection), phase17/compliance_rejudge.py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Risk estimate (GROUPED_GATED)</w:t>
            </w:r>
          </w:p>
        </w:tc>
        <w:tc>
          <w:tcPr>
            <w:tcW w:type="dxa" w:w="2880"/>
          </w:tcPr>
          <w:p>
            <w:pPr>
              <w:spacing w:after="40"/>
            </w:pPr>
            <w:r>
              <w:rPr>
                <w:sz w:val="18"/>
              </w:rPr>
              <w:t>R = Σ_g 0.25·s_g over the four guard groups (admission, retrieval, propagation, sleeper), R ∈ [0, 1];  band = HIGH if R ≥ 0.6, ELEVATED if R ≥ 0.35, MODERATE if R ≥ 0.05, else LOW</w:t>
            </w:r>
          </w:p>
        </w:tc>
        <w:tc>
          <w:tcPr>
            <w:tcW w:type="dxa" w:w="2880"/>
          </w:tcPr>
          <w:p>
            <w:pPr>
              <w:spacing w:after="40"/>
            </w:pPr>
            <w:r>
              <w:rPr>
                <w:sz w:val="18"/>
              </w:rPr>
              <w:t>phase6/defense/risk/risk_score.py</w:t>
            </w:r>
          </w:p>
        </w:tc>
      </w:tr>
      <w:tr>
        <w:tc>
          <w:tcPr>
            <w:tcW w:type="dxa" w:w="2880"/>
          </w:tcPr>
          <w:p>
            <w:pPr>
              <w:spacing w:after="40"/>
            </w:pPr>
            <w:r>
              <w:rPr>
                <w:sz w:val="18"/>
              </w:rPr>
              <w:t>Risk band to action</w:t>
            </w:r>
          </w:p>
        </w:tc>
        <w:tc>
          <w:tcPr>
            <w:tcW w:type="dxa" w:w="2880"/>
          </w:tcPr>
          <w:p>
            <w:pPr>
              <w:spacing w:after="40"/>
            </w:pPr>
            <w:r>
              <w:rPr>
                <w:sz w:val="18"/>
              </w:rPr>
              <w:t>LOW → ALLOW;  MODERATE, ELEVATED → REQUIRE_VALIDATION;  HIGH → QUARANTINE</w:t>
            </w:r>
          </w:p>
        </w:tc>
        <w:tc>
          <w:tcPr>
            <w:tcW w:type="dxa" w:w="2880"/>
          </w:tcPr>
          <w:p>
            <w:pPr>
              <w:spacing w:after="40"/>
            </w:pPr>
            <w:r>
              <w:rPr>
                <w:sz w:val="18"/>
              </w:rPr>
              <w:t>phase6/defense/risk/risk_action.py</w:t>
            </w:r>
          </w:p>
        </w:tc>
      </w:tr>
      <w:tr>
        <w:tc>
          <w:tcPr>
            <w:tcW w:type="dxa" w:w="2880"/>
          </w:tcPr>
          <w:p>
            <w:pPr>
              <w:spacing w:after="40"/>
            </w:pPr>
            <w:r>
              <w:rPr>
                <w:sz w:val="18"/>
              </w:rPr>
              <w:t>Consensus guard (fixed gate)</w:t>
            </w:r>
          </w:p>
        </w:tc>
        <w:tc>
          <w:tcPr>
            <w:tcW w:type="dxa" w:w="2880"/>
          </w:tcPr>
          <w:p>
            <w:pPr>
              <w:spacing w:after="40"/>
            </w:pPr>
            <w:r>
              <w:rPr>
                <w:sz w:val="18"/>
              </w:rPr>
              <w:t>d = consensus divergence of the candidate within the retrieved pool;  π = min(0.5, 0.5·d) if d ≥ 0.3 else 0;  score′ = score·(1 − π)</w:t>
            </w:r>
          </w:p>
        </w:tc>
        <w:tc>
          <w:tcPr>
            <w:tcW w:type="dxa" w:w="2880"/>
          </w:tcPr>
          <w:p>
            <w:pPr>
              <w:spacing w:after="40"/>
            </w:pPr>
            <w:r>
              <w:rPr>
                <w:sz w:val="18"/>
              </w:rPr>
              <w:t>phase6/defense/retrieval/consensus_guard.py (lexical by default; semantic in B2s–B8s)</w:t>
            </w:r>
          </w:p>
        </w:tc>
      </w:tr>
      <w:tr>
        <w:tc>
          <w:tcPr>
            <w:tcW w:type="dxa" w:w="2880"/>
          </w:tcPr>
          <w:p>
            <w:pPr>
              <w:spacing w:after="40"/>
            </w:pPr>
            <w:r>
              <w:rPr>
                <w:sz w:val="18"/>
              </w:rPr>
              <w:t>Risk-weighted ranking penalty</w:t>
            </w:r>
          </w:p>
        </w:tc>
        <w:tc>
          <w:tcPr>
            <w:tcW w:type="dxa" w:w="2880"/>
          </w:tcPr>
          <w:p>
            <w:pPr>
              <w:spacing w:after="40"/>
            </w:pPr>
            <w:r>
              <w:rPr>
                <w:sz w:val="18"/>
              </w:rPr>
              <w:t>R′ = (1/n)·Σ_{j=1}^{n} s_j over the n signals present (divergence plus any corroborating ones);  π = min(0.5, 0.5·R′), no threshold</w:t>
            </w:r>
          </w:p>
        </w:tc>
        <w:tc>
          <w:tcPr>
            <w:tcW w:type="dxa" w:w="2880"/>
          </w:tcPr>
          <w:p>
            <w:pPr>
              <w:spacing w:after="40"/>
            </w:pPr>
            <w:r>
              <w:rPr>
                <w:sz w:val="18"/>
              </w:rPr>
              <w:t>phase6/defense/risk/risk_weighted_retrieval.py</w:t>
            </w:r>
          </w:p>
        </w:tc>
      </w:tr>
      <w:tr>
        <w:tc>
          <w:tcPr>
            <w:tcW w:type="dxa" w:w="2880"/>
          </w:tcPr>
          <w:p>
            <w:pPr>
              <w:spacing w:after="40"/>
            </w:pPr>
            <w:r>
              <w:rPr>
                <w:sz w:val="18"/>
              </w:rPr>
              <w:t>Corroboration (B13)</w:t>
            </w:r>
          </w:p>
        </w:tc>
        <w:tc>
          <w:tcPr>
            <w:tcW w:type="dxa" w:w="2880"/>
          </w:tcPr>
          <w:p>
            <w:pPr>
              <w:spacing w:after="40"/>
            </w:pPr>
            <w:r>
              <w:rPr>
                <w:sz w:val="18"/>
              </w:rPr>
              <w:t>s = NLI support of a personal claim against the owner's conversation;  exclude if s &lt; 0.0019, or s &lt; 0.0057 and the claim is a preference</w:t>
            </w:r>
          </w:p>
        </w:tc>
        <w:tc>
          <w:tcPr>
            <w:tcW w:type="dxa" w:w="2880"/>
          </w:tcPr>
          <w:p>
            <w:pPr>
              <w:spacing w:after="40"/>
            </w:pPr>
            <w:r>
              <w:rPr>
                <w:sz w:val="18"/>
              </w:rPr>
              <w:t>phase17/b13_live.py (SUPPORT_EXCLUDE, SUPPORT_FLAG)</w:t>
            </w:r>
          </w:p>
        </w:tc>
      </w:tr>
      <w:tr>
        <w:tc>
          <w:tcPr>
            <w:tcW w:type="dxa" w:w="2880"/>
          </w:tcPr>
          <w:p>
            <w:pPr>
              <w:spacing w:after="40"/>
            </w:pPr>
            <w:r>
              <w:rPr>
                <w:sz w:val="18"/>
              </w:rPr>
              <w:t>Rejection ledger</w:t>
            </w:r>
          </w:p>
        </w:tc>
        <w:tc>
          <w:tcPr>
            <w:tcW w:type="dxa" w:w="2880"/>
          </w:tcPr>
          <w:p>
            <w:pPr>
              <w:spacing w:after="40"/>
            </w:pPr>
            <w:r>
              <w:rPr>
                <w:sz w:val="18"/>
              </w:rPr>
              <w:t>refuse x if max_j cos(e(x), e(r_j)) ≥ ρ over the scope's previously rejected entries r_j;  ρ = 0.95 recommended (blast radius 6.4%), 0.97 frozen</w:t>
            </w:r>
          </w:p>
        </w:tc>
        <w:tc>
          <w:tcPr>
            <w:tcW w:type="dxa" w:w="2880"/>
          </w:tcPr>
          <w:p>
            <w:pPr>
              <w:spacing w:after="40"/>
            </w:pPr>
            <w:r>
              <w:rPr>
                <w:sz w:val="18"/>
              </w:rPr>
              <w:t>phase17/rejection_memory.py, phase17/b16_live.py</w:t>
            </w:r>
          </w:p>
        </w:tc>
      </w:tr>
      <w:tr>
        <w:tc>
          <w:tcPr>
            <w:tcW w:type="dxa" w:w="2880"/>
          </w:tcPr>
          <w:p>
            <w:pPr>
              <w:spacing w:after="40"/>
            </w:pPr>
            <w:r>
              <w:rPr>
                <w:sz w:val="18"/>
              </w:rPr>
              <w:t>Unions</w:t>
            </w:r>
          </w:p>
        </w:tc>
        <w:tc>
          <w:tcPr>
            <w:tcW w:type="dxa" w:w="2880"/>
          </w:tcPr>
          <w:p>
            <w:pPr>
              <w:spacing w:after="40"/>
            </w:pPr>
            <w:r>
              <w:rPr>
                <w:sz w:val="18"/>
              </w:rPr>
              <w:t>B17(x) = B13(x) ∨ B14(x);  B18(x) = B17(x) ∨ [deberta(x) ≥ τ_oracle]</w:t>
            </w:r>
          </w:p>
        </w:tc>
        <w:tc>
          <w:tcPr>
            <w:tcW w:type="dxa" w:w="2880"/>
          </w:tcPr>
          <w:p>
            <w:pPr>
              <w:spacing w:after="40"/>
            </w:pPr>
            <w:r>
              <w:rPr>
                <w:sz w:val="18"/>
              </w:rPr>
              <w:t>phase17/b17_live.py, phase17/b18_live.py</w:t>
            </w:r>
          </w:p>
        </w:tc>
      </w:tr>
      <w:tr>
        <w:tc>
          <w:tcPr>
            <w:tcW w:type="dxa" w:w="2880"/>
          </w:tcPr>
          <w:p>
            <w:pPr>
              <w:spacing w:after="40"/>
            </w:pPr>
            <w:r>
              <w:rPr>
                <w:sz w:val="18"/>
              </w:rPr>
              <w:t>Generalized union defense</w:t>
            </w:r>
          </w:p>
        </w:tc>
        <w:tc>
          <w:tcPr>
            <w:tcW w:type="dxa" w:w="2880"/>
          </w:tcPr>
          <w:p>
            <w:pPr>
              <w:spacing w:after="40"/>
            </w:pPr>
            <w:r>
              <w:rPr>
                <w:sz w:val="18"/>
              </w:rPr>
              <w:t>flag(M) = B13(M) OR anomaly(M);  generalizes across attack types because the detectors are complementary (no single one covers all).  A type-router applies only one detector and does not beat it</w:t>
            </w:r>
          </w:p>
        </w:tc>
        <w:tc>
          <w:tcPr>
            <w:tcW w:type="dxa" w:w="2880"/>
          </w:tcPr>
          <w:p>
            <w:pPr>
              <w:spacing w:after="40"/>
            </w:pPr>
            <w:r>
              <w:rPr>
                <w:sz w:val="18"/>
              </w:rPr>
              <w:t>phase17/union_defense_dev.py; phase17/eval_holdout8.py</w:t>
            </w:r>
          </w:p>
        </w:tc>
      </w:tr>
      <w:tr>
        <w:tc>
          <w:tcPr>
            <w:tcW w:type="dxa" w:w="2880"/>
          </w:tcPr>
          <w:p>
            <w:pPr>
              <w:spacing w:after="40"/>
            </w:pPr>
            <w:r>
              <w:rPr>
                <w:sz w:val="18"/>
              </w:rPr>
              <w:t>Planted-memory embedding anomaly (live sleeper signal, exploratory)</w:t>
            </w:r>
          </w:p>
        </w:tc>
        <w:tc>
          <w:tcPr>
            <w:tcW w:type="dxa" w:w="2880"/>
          </w:tcPr>
          <w:p>
            <w:pPr>
              <w:spacing w:after="40"/>
            </w:pPr>
            <w:r>
              <w:rPr>
                <w:sz w:val="18"/>
              </w:rPr>
              <w:t>outlier(M) = min_c ||e(M) - c||  over benign cluster centroids c (KMeans on benign);  flag if outlier &gt;= tau_dev (10% benign FPR).  Catches dormant sleepers; content-independent; not sleeper-specific -- provenance is the primary sleeper defense</w:t>
            </w:r>
          </w:p>
        </w:tc>
        <w:tc>
          <w:tcPr>
            <w:tcW w:type="dxa" w:w="2880"/>
          </w:tcPr>
          <w:p>
            <w:pPr>
              <w:spacing w:after="40"/>
            </w:pPr>
            <w:r>
              <w:rPr>
                <w:sz w:val="18"/>
              </w:rPr>
              <w:t>phase17/sleeper_activation_live.py (benign_cluster_outlier_scores); phase17/eval_holdout8.py</w:t>
            </w:r>
          </w:p>
        </w:tc>
      </w:tr>
      <w:tr>
        <w:tc>
          <w:tcPr>
            <w:tcW w:type="dxa" w:w="2880"/>
          </w:tcPr>
          <w:p>
            <w:pPr>
              <w:spacing w:after="40"/>
            </w:pPr>
            <w:r>
              <w:rPr>
                <w:sz w:val="18"/>
              </w:rPr>
              <w:t>Propagation containment: lineage taint (lexical / semantic)</w:t>
            </w:r>
          </w:p>
        </w:tc>
        <w:tc>
          <w:tcPr>
            <w:tcW w:type="dxa" w:w="2880"/>
          </w:tcPr>
          <w:p>
            <w:pPr>
              <w:spacing w:after="40"/>
            </w:pPr>
            <w:r>
              <w:rPr>
                <w:sz w:val="18"/>
              </w:rPr>
              <w:t>taint(D) = max_a SEVERITY(state_a) * decay(dist_a) * retention(D, a);  retention = Jaccard tokens (lexical, as built) or embedding cosine (semantic);  action by the same bands as the risk score</w:t>
            </w:r>
          </w:p>
        </w:tc>
        <w:tc>
          <w:tcPr>
            <w:tcW w:type="dxa" w:w="2880"/>
          </w:tcPr>
          <w:p>
            <w:pPr>
              <w:spacing w:after="40"/>
            </w:pPr>
            <w:r>
              <w:rPr>
                <w:sz w:val="18"/>
              </w:rPr>
              <w:t>phase6/defense/propagation/containment_guard.py; phase17/derived_memory_eval.py (semantic)</w:t>
            </w:r>
          </w:p>
        </w:tc>
      </w:tr>
      <w:tr>
        <w:tc>
          <w:tcPr>
            <w:tcW w:type="dxa" w:w="2880"/>
          </w:tcPr>
          <w:p>
            <w:pPr>
              <w:spacing w:after="40"/>
            </w:pPr>
            <w:r>
              <w:rPr>
                <w:sz w:val="18"/>
              </w:rPr>
              <w:t>Instruction-aware frame (v6)</w:t>
            </w:r>
          </w:p>
        </w:tc>
        <w:tc>
          <w:tcPr>
            <w:tcW w:type="dxa" w:w="2880"/>
          </w:tcPr>
          <w:p>
            <w:pPr>
              <w:spacing w:after="40"/>
            </w:pPr>
            <w:r>
              <w:rPr>
                <w:sz w:val="18"/>
              </w:rPr>
              <w:t>v6(x) = v3(x) + clause if IMPERATIVE(x) else v3(x);  IMPERATIVE = holdout7_corpus._IMPERATIVE (always, never, must, whenever, from now on, …)</w:t>
            </w:r>
          </w:p>
        </w:tc>
        <w:tc>
          <w:tcPr>
            <w:tcW w:type="dxa" w:w="2880"/>
          </w:tcPr>
          <w:p>
            <w:pPr>
              <w:spacing w:after="40"/>
            </w:pPr>
            <w:r>
              <w:rPr>
                <w:sz w:val="18"/>
              </w:rPr>
              <w:t>phase17/frame_instruction_dev.py</w:t>
            </w:r>
          </w:p>
        </w:tc>
      </w:tr>
      <w:tr>
        <w:tc>
          <w:tcPr>
            <w:tcW w:type="dxa" w:w="2880"/>
          </w:tcPr>
          <w:p>
            <w:pPr>
              <w:spacing w:after="40"/>
            </w:pPr>
            <w:r>
              <w:rPr>
                <w:sz w:val="18"/>
              </w:rPr>
              <w:t>Epistemic quarantine</w:t>
            </w:r>
          </w:p>
        </w:tc>
        <w:tc>
          <w:tcPr>
            <w:tcW w:type="dxa" w:w="2880"/>
          </w:tcPr>
          <w:p>
            <w:pPr>
              <w:spacing w:after="40"/>
            </w:pPr>
            <w:r>
              <w:rPr>
                <w:sz w:val="18"/>
              </w:rPr>
              <w:t>exclude if any non-corroboration B13 rule fires;  if corroboration alone fires, admit the note inside the UNVERIFIED frame;  otherwise admit</w:t>
            </w:r>
          </w:p>
        </w:tc>
        <w:tc>
          <w:tcPr>
            <w:tcW w:type="dxa" w:w="2880"/>
          </w:tcPr>
          <w:p>
            <w:pPr>
              <w:spacing w:after="40"/>
            </w:pPr>
            <w:r>
              <w:rPr>
                <w:sz w:val="18"/>
              </w:rPr>
              <w:t>phase17/epistemic_quarantine.py</w:t>
            </w:r>
          </w:p>
        </w:tc>
      </w:tr>
    </w:tbl>
    <w:p>
      <w:pPr>
        <w:spacing w:after="200"/>
      </w:pPr>
      <w:r>
        <w:rPr>
          <w:i/>
          <w:sz w:val="18"/>
        </w:rPr>
        <w:t>Table F. Formulas behind the reported numbers (phase17/formulas.py).</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round7_summary.md</w:t>
            </w:r>
          </w:p>
        </w:tc>
        <w:tc>
          <w:tcPr>
            <w:tcW w:type="dxa" w:w="2880"/>
          </w:tcPr>
          <w:p>
            <w:pPr>
              <w:spacing w:after="40"/>
            </w:pPr>
            <w:r>
              <w:rPr>
                <w:sz w:val="18"/>
              </w:rPr>
              <w:t>The round-7 summary of findings</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r>
        <w:tc>
          <w:tcPr>
            <w:tcW w:type="dxa" w:w="2880"/>
          </w:tcPr>
          <w:p>
            <w:pPr>
              <w:spacing w:after="40"/>
            </w:pPr>
            <w:r>
              <w:rPr>
                <w:sz w:val="18"/>
              </w:rPr>
              <w:t>risk_weighted_retrieval_eval.json</w:t>
            </w:r>
          </w:p>
        </w:tc>
        <w:tc>
          <w:tcPr>
            <w:tcW w:type="dxa" w:w="2880"/>
          </w:tcPr>
          <w:p>
            <w:pPr>
              <w:spacing w:after="40"/>
            </w:pPr>
            <w:r>
              <w:rPr>
                <w:sz w:val="18"/>
              </w:rPr>
              <w:t>Phase 10 risk-weighted retrieval ranking, first evaluation (addendum 5)</w:t>
            </w:r>
          </w:p>
        </w:tc>
        <w:tc>
          <w:tcPr>
            <w:tcW w:type="dxa" w:w="2880"/>
          </w:tcPr>
          <w:p>
            <w:pPr>
              <w:spacing w:after="40"/>
            </w:pPr>
            <w:r>
              <w:rPr>
                <w:sz w:val="18"/>
              </w:rPr>
              <w:t>yes</w:t>
            </w:r>
          </w:p>
        </w:tc>
      </w:tr>
      <w:tr>
        <w:tc>
          <w:tcPr>
            <w:tcW w:type="dxa" w:w="2880"/>
          </w:tcPr>
          <w:p>
            <w:pPr>
              <w:spacing w:after="40"/>
            </w:pPr>
            <w:r>
              <w:rPr>
                <w:sz w:val="18"/>
              </w:rPr>
              <w:t>risk_monitoring_eval.json</w:t>
            </w:r>
          </w:p>
        </w:tc>
        <w:tc>
          <w:tcPr>
            <w:tcW w:type="dxa" w:w="2880"/>
          </w:tcPr>
          <w:p>
            <w:pPr>
              <w:spacing w:after="40"/>
            </w:pPr>
            <w:r>
              <w:rPr>
                <w:sz w:val="18"/>
              </w:rPr>
              <w:t>Phase 10 monitoring, first design (random pools; reported as an artifact)</w:t>
            </w:r>
          </w:p>
        </w:tc>
        <w:tc>
          <w:tcPr>
            <w:tcW w:type="dxa" w:w="2880"/>
          </w:tcPr>
          <w:p>
            <w:pPr>
              <w:spacing w:after="40"/>
            </w:pPr>
            <w:r>
              <w:rPr>
                <w:sz w:val="18"/>
              </w:rPr>
              <w:t>yes</w:t>
            </w:r>
          </w:p>
        </w:tc>
      </w:tr>
      <w:tr>
        <w:tc>
          <w:tcPr>
            <w:tcW w:type="dxa" w:w="2880"/>
          </w:tcPr>
          <w:p>
            <w:pPr>
              <w:spacing w:after="40"/>
            </w:pPr>
            <w:r>
              <w:rPr>
                <w:sz w:val="18"/>
              </w:rPr>
              <w:t>risk_monitoring_eval_realistic.json</w:t>
            </w:r>
          </w:p>
        </w:tc>
        <w:tc>
          <w:tcPr>
            <w:tcW w:type="dxa" w:w="2880"/>
          </w:tcPr>
          <w:p>
            <w:pPr>
              <w:spacing w:after="40"/>
            </w:pPr>
            <w:r>
              <w:rPr>
                <w:sz w:val="18"/>
              </w:rPr>
              <w:t>Phase 10 monitoring, realistic retrieval pools</w:t>
            </w:r>
          </w:p>
        </w:tc>
        <w:tc>
          <w:tcPr>
            <w:tcW w:type="dxa" w:w="2880"/>
          </w:tcPr>
          <w:p>
            <w:pPr>
              <w:spacing w:after="40"/>
            </w:pPr>
            <w:r>
              <w:rPr>
                <w:sz w:val="18"/>
              </w:rPr>
              <w:t>yes</w:t>
            </w:r>
          </w:p>
        </w:tc>
      </w:tr>
      <w:tr>
        <w:tc>
          <w:tcPr>
            <w:tcW w:type="dxa" w:w="2880"/>
          </w:tcPr>
          <w:p>
            <w:pPr>
              <w:spacing w:after="40"/>
            </w:pPr>
            <w:r>
              <w:rPr>
                <w:sz w:val="18"/>
              </w:rPr>
              <w:t>phase6_semantic_variants.json</w:t>
            </w:r>
          </w:p>
        </w:tc>
        <w:tc>
          <w:tcPr>
            <w:tcW w:type="dxa" w:w="2880"/>
          </w:tcPr>
          <w:p>
            <w:pPr>
              <w:spacing w:after="40"/>
            </w:pPr>
            <w:r>
              <w:rPr>
                <w:sz w:val="18"/>
              </w:rPr>
              <w:t>Phase 6 ablation with the semantic retrieval variants beside the originals</w:t>
            </w:r>
          </w:p>
        </w:tc>
        <w:tc>
          <w:tcPr>
            <w:tcW w:type="dxa" w:w="2880"/>
          </w:tcPr>
          <w:p>
            <w:pPr>
              <w:spacing w:after="40"/>
            </w:pPr>
            <w:r>
              <w:rPr>
                <w:sz w:val="18"/>
              </w:rPr>
              <w:t>yes</w:t>
            </w:r>
          </w:p>
        </w:tc>
      </w:tr>
      <w:tr>
        <w:tc>
          <w:tcPr>
            <w:tcW w:type="dxa" w:w="2880"/>
          </w:tcPr>
          <w:p>
            <w:pPr>
              <w:spacing w:after="40"/>
            </w:pPr>
            <w:r>
              <w:rPr>
                <w:sz w:val="18"/>
              </w:rPr>
              <w:t>rwr_semantic_exploratory.json</w:t>
            </w:r>
          </w:p>
        </w:tc>
        <w:tc>
          <w:tcPr>
            <w:tcW w:type="dxa" w:w="2880"/>
          </w:tcPr>
          <w:p>
            <w:pPr>
              <w:spacing w:after="40"/>
            </w:pPr>
            <w:r>
              <w:rPr>
                <w:sz w:val="18"/>
              </w:rPr>
              <w:t>EXPLORATORY: semantic divergence on the original stores</w:t>
            </w:r>
          </w:p>
        </w:tc>
        <w:tc>
          <w:tcPr>
            <w:tcW w:type="dxa" w:w="2880"/>
          </w:tcPr>
          <w:p>
            <w:pPr>
              <w:spacing w:after="40"/>
            </w:pPr>
            <w:r>
              <w:rPr>
                <w:sz w:val="18"/>
              </w:rPr>
              <w:t>yes</w:t>
            </w:r>
          </w:p>
        </w:tc>
      </w:tr>
      <w:tr>
        <w:tc>
          <w:tcPr>
            <w:tcW w:type="dxa" w:w="2880"/>
          </w:tcPr>
          <w:p>
            <w:pPr>
              <w:spacing w:after="40"/>
            </w:pPr>
            <w:r>
              <w:rPr>
                <w:sz w:val="18"/>
              </w:rPr>
              <w:t>rwr_fresh_replication.json</w:t>
            </w:r>
          </w:p>
        </w:tc>
        <w:tc>
          <w:tcPr>
            <w:tcW w:type="dxa" w:w="2880"/>
          </w:tcPr>
          <w:p>
            <w:pPr>
              <w:spacing w:after="40"/>
            </w:pPr>
            <w:r>
              <w:rPr>
                <w:sz w:val="18"/>
              </w:rPr>
              <w:t>Fresh-store replication (addendum 6)</w:t>
            </w:r>
          </w:p>
        </w:tc>
        <w:tc>
          <w:tcPr>
            <w:tcW w:type="dxa" w:w="2880"/>
          </w:tcPr>
          <w:p>
            <w:pPr>
              <w:spacing w:after="40"/>
            </w:pPr>
            <w:r>
              <w:rPr>
                <w:sz w:val="18"/>
              </w:rPr>
              <w:t>yes</w:t>
            </w:r>
          </w:p>
        </w:tc>
      </w:tr>
      <w:tr>
        <w:tc>
          <w:tcPr>
            <w:tcW w:type="dxa" w:w="2880"/>
          </w:tcPr>
          <w:p>
            <w:pPr>
              <w:spacing w:after="40"/>
            </w:pPr>
            <w:r>
              <w:rPr>
                <w:sz w:val="18"/>
              </w:rPr>
              <w:t>rwr_campaign.json</w:t>
            </w:r>
          </w:p>
        </w:tc>
        <w:tc>
          <w:tcPr>
            <w:tcW w:type="dxa" w:w="2880"/>
          </w:tcPr>
          <w:p>
            <w:pPr>
              <w:spacing w:after="40"/>
            </w:pPr>
            <w:r>
              <w:rPr>
                <w:sz w:val="18"/>
              </w:rPr>
              <w:t>Consensus guard against coordinated campaigns (addendum 6)</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