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the 55% false-positive regime was one corpus; B17, not B18, is recommended for injection-shaped text; corroboration is brittle to an adaptive attacker alone (22/48) but not behind the rejection ledger (5/48).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r>
        <w:t xml:space="preserve">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w:t>
      </w:r>
      <w:r>
        <w:t xml:space="preserve">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2"/>
      </w:pPr>
      <w:r>
        <w:t>32.63 Standard of Evidence</w:t>
      </w:r>
    </w:p>
    <w:p>
      <w:pPr/>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