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62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PENDING</w:t>
            </w:r>
          </w:p>
        </w:tc>
        <w:tc>
          <w:tcPr>
            <w:tcW w:type="dxa" w:w="2880"/>
          </w:tcPr>
          <w:p>
            <w:pPr>
              <w:spacing w:after="40"/>
            </w:pPr>
            <w:r>
              <w:rPr>
                <w:sz w:val="18"/>
              </w:rPr>
              <w:t>awaiting ['holdout6 working subset']; holdout4: working=86; holdout5: working=47; holdout6: working=None;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29/35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+36.7 vs floor 7.1 (n=60)</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17/17 proven</w:t>
            </w:r>
          </w:p>
        </w:tc>
      </w:tr>
    </w:tbl>
    <w:p>
      <w:pPr>
        <w:spacing w:after="200"/>
      </w:pPr>
      <w:r>
        <w:rPr>
          <w:i/>
          <w:sz w:val="18"/>
        </w:rPr>
        <w:t>Table 20. Verdict: PENDING. Source: phase17/data/publishability.json.</w:t>
      </w:r>
    </w:p>
    <w:p>
      <w:pPr>
        <w:spacing w:after="120"/>
      </w:pPr>
      <w:r>
        <w:t>VERDICT: PENDING.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NOT YET RUN</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NOT YET RUN</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NOT YET RUN</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NOT YET RUN</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NOT YET RUN</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NOT YET RUN</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