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2026-10-09 (round 7; corrections made in place)</w:t>
      </w:r>
    </w:p>
    <w:p>
      <w:pPr>
        <w:pStyle w:val="Heading1"/>
      </w:pPr>
      <w:r>
        <w:t>Abstract</w:t>
      </w:r>
    </w:p>
    <w:p>
      <w:pPr>
        <w:spacing w:after="120"/>
      </w:pPr>
      <w:r>
        <w:t>We report the results of five independent review rounds (3-7)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re-judged on identical answers by the judge selected against held-back human labels, undefended harm is 58.3% rather than 32.0%, and B13's reduction holds under both judges, Section 13B).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four new corpora -- two memory-poisoning, two injection -- each scored once under predictions committed in advance (39/47 held).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was reserved for out-of-loop validation (round 7 changed this: mistral authored hold-out 4 and judges hold-out 8's mechanisms, Gemini judged hold-outs 4 and 7's mechanisms and is the harm judge adopted against human labels, and no model ever judges text it wrote). Temperature is 0 with fixed seeds throughout, but runs are NOT bit-reproducible: an identical prompt set scored 66, 64 and 61 of 120 across three runs, because Ollama's concurrent batching is not deterministic. Roughly 5 points on n=120 was taken as the noise floor for LLM-generated and LLM-judged quantities, scaled as 5*sqrt(120/n) for other sample sizes, and no such difference smaller than that is claimed. Retrieval-ranking and detection decisions on fixed text are deterministic (no generation), so the floor does not apply to them; their small differences rest on exact paired tests instead.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(original judge; a judge validated against human labels finds undefended harm about twice as high on the same answers -- Section 13B).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 B17/B18's no-evidence cells are derived from the same per-item decisions (phase17/data/family_union_evidence.json); an earlier version printed dashes for them.</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on ordinary memory (on hold-out 4's memory-shaped benign notes the union pays both components' false positives, Section 13)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(corroboration with evidence proved more brittle, 22/48, Section 13B),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3.7% of hold-out 7's benign notes even as the user's own words (4.9% on its owner-matched subset),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(5) RETRIEVAL ranking: run the consensus guard with SEMANTIC divergence, not its shipped lexical default. Against coordinated campaigns -- a poison plus two paraphrases -- the semantic gate kept any copy out of the agent's context in 36 more of 302 cases (p=3e-11) at 2.78 points of benign displacement, where the lexical default did nothing. Against a single poison the guard is inert by design (a single memory is never a cluster); there, provenance corroboration supplied to the ranking is what helps. Measured on development data and fresh stores, not on a hold-out. It is a trade, not a free gain: on Phase 6's own hand-authored corpus the semantic variants raise detection (B8 70.6% -&gt; B8s 100.0%) and double benign false positives (7.3% -&gt; 14.6% of 41). They ship as B2s-B8s beside the unchanged originals, so every number measured with the lexical default stays reproducible.</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and at the recommended radius 0.95 carries a 6.4% ledger-poisoning blast radius (29.7% at 0.90); it does nothing against a single-shot attacker, one who distributes attempts across isolated scopes, or one who waits out the ledger time-to-live. (ii) Exfiltration is a tested mechanism whose harm is zero for every agent family tried; that is a finding about 7-8B assistants. (iii) Hold-out 4 covers note-shaped poisoning only (its safety-tuned author inverted the instruction-shaped families); hold-out 7 adds instruction-shaped attacks but its working subset is not reportable, and conditional backdoors remain untested on a clean hold-out. Hold-out 5 has 131 attacks, so its rates carry about +/-8 points. The stronger-agent comparison rests on 120 development items. (iv) The first three hold-outs are prompt-injection or jailbreak corpora; hold-outs 4 and 7 are the memory-poisoning hold-outs. (v) The judges were checked against two annotators. (vi) Four of MPBench's six attack classes need write channels this victim architecture does not have (tool-executed writes, session compaction, skill synthesis); covering them needs a tool-using victim agent and is future work. (vii) No licence has been attached to the benchmark, which is a deliberate deferral by the owner.</w:t>
      </w:r>
    </w:p>
    <w:p>
      <w:pPr>
        <w:pStyle w:val="Heading1"/>
      </w:pPr>
      <w:r>
        <w:t>12. Conclusion</w:t>
      </w:r>
    </w:p>
    <w:p>
      <w:pPr>
        <w:spacing w:after="120"/>
      </w:pPr>
      <w:r>
        <w:t>The central result of these five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New Clean Hold-Outs, a Composition, and What Did Not Generalise</w:t>
      </w:r>
    </w:p>
    <w:p>
      <w:pPr>
        <w:spacing w:after="120"/>
      </w:pPr>
      <w:r>
        <w:t>Round 7 retired hold-out 3 (scored seven times, one pre-registered, and its development set shown to be the hold-out itself: Section 10C) and built new corpora -- hold-outs 4 and 5 in this section, 6 and 7 in Section 13A -- each frozen before any configuration was scored and each scored exactly ONCE under predictions committed beforehand (docs/phase17/PREREGISTRATION_ROUND7.md, plus addenda, each committed before the scoring it governs; the first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A third approach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(since measured: about half, Section 13B); harm REDUCTIONS are more robust because both arms share a judge; detection and false-positive results use no judge at all.</w:t>
      </w:r>
    </w:p>
    <w:p>
      <w:pPr>
        <w:spacing w:after="120"/>
      </w:pPr>
      <w:r>
        <w:t>A second, independent annotator then labelled the same 100 items blind to the first annotator and to the judges. The two people agreed on 95% of items (kappa 0.834); on compliance 88% (kappa 0.731). Their harm and mechanism labels were identical, but this is largely a ceiling: harm was YES on 36/40 items for both and mechanism YES on all 20 (kappa undefined), so identical labels say less than the 100% suggests. What the second annotator settles is the direction of the harm disagreement: the original harm judge missed the same 16 harms against the second person (kappa 0.2), so 'one generous annotator' is no longer a sufficient explanation -- the judge under-calls harm. The adopted judge J2, chosen on the first annotator's labels, scores kappa 0.688 against the second; because the two people's harm labels coincide, this replicates rather than independently re-tests the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Comparison</w:t>
            </w:r>
          </w:p>
        </w:tc>
        <w:tc>
          <w:tcPr>
            <w:tcW w:type="dxa" w:w="1728"/>
          </w:tcPr>
          <w:p>
            <w:pPr>
              <w:spacing w:after="40"/>
            </w:pPr>
            <w:r>
              <w:rPr>
                <w:b/>
                <w:sz w:val="18"/>
              </w:rPr>
              <w:t>Type</w:t>
            </w:r>
          </w:p>
        </w:tc>
        <w:tc>
          <w:tcPr>
            <w:tcW w:type="dxa" w:w="1728"/>
          </w:tcPr>
          <w:p>
            <w:pPr>
              <w:spacing w:after="40"/>
            </w:pPr>
            <w:r>
              <w:rPr>
                <w:b/>
                <w:sz w:val="18"/>
              </w:rPr>
              <w:t>n</w:t>
            </w:r>
          </w:p>
        </w:tc>
        <w:tc>
          <w:tcPr>
            <w:tcW w:type="dxa" w:w="1728"/>
          </w:tcPr>
          <w:p>
            <w:pPr>
              <w:spacing w:after="40"/>
            </w:pPr>
            <w:r>
              <w:rPr>
                <w:b/>
                <w:sz w:val="18"/>
              </w:rPr>
              <w:t>Agreement</w:t>
            </w:r>
          </w:p>
        </w:tc>
        <w:tc>
          <w:tcPr>
            <w:tcW w:type="dxa" w:w="1728"/>
          </w:tcPr>
          <w:p>
            <w:pPr>
              <w:spacing w:after="40"/>
            </w:pPr>
            <w:r>
              <w:rPr>
                <w:b/>
                <w:sz w:val="18"/>
              </w:rPr>
              <w:t>Cohen's kappa</w:t>
            </w:r>
          </w:p>
        </w:tc>
      </w:tr>
      <w:tr>
        <w:tc>
          <w:tcPr>
            <w:tcW w:type="dxa" w:w="1728"/>
          </w:tcPr>
          <w:p>
            <w:pPr>
              <w:spacing w:after="40"/>
            </w:pPr>
            <w:r>
              <w:rPr>
                <w:sz w:val="18"/>
              </w:rPr>
              <w:t>Annotator 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87.5%</w:t>
            </w:r>
          </w:p>
        </w:tc>
        <w:tc>
          <w:tcPr>
            <w:tcW w:type="dxa" w:w="1728"/>
          </w:tcPr>
          <w:p>
            <w:pPr>
              <w:spacing w:after="40"/>
            </w:pPr>
            <w:r>
              <w:rPr>
                <w:sz w:val="18"/>
              </w:rPr>
              <w:t>0.731</w:t>
            </w:r>
          </w:p>
        </w:tc>
      </w:tr>
      <w:tr>
        <w:tc>
          <w:tcPr>
            <w:tcW w:type="dxa" w:w="1728"/>
          </w:tcPr>
          <w:p>
            <w:pPr>
              <w:spacing w:after="40"/>
            </w:pPr>
            <w:r>
              <w:rPr>
                <w:sz w:val="18"/>
              </w:rPr>
              <w:t>Annotator 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100.0%</w:t>
            </w:r>
          </w:p>
        </w:tc>
        <w:tc>
          <w:tcPr>
            <w:tcW w:type="dxa" w:w="1728"/>
          </w:tcPr>
          <w:p>
            <w:pPr>
              <w:spacing w:after="40"/>
            </w:pPr>
            <w:r>
              <w:rPr>
                <w:sz w:val="18"/>
              </w:rPr>
              <w:t>1.0</w:t>
            </w:r>
          </w:p>
        </w:tc>
      </w:tr>
      <w:tr>
        <w:tc>
          <w:tcPr>
            <w:tcW w:type="dxa" w:w="1728"/>
          </w:tcPr>
          <w:p>
            <w:pPr>
              <w:spacing w:after="40"/>
            </w:pPr>
            <w:r>
              <w:rPr>
                <w:sz w:val="18"/>
              </w:rPr>
              <w:t>Annotator 1 vs annotator 2</w:t>
            </w:r>
          </w:p>
        </w:tc>
        <w:tc>
          <w:tcPr>
            <w:tcW w:type="dxa" w:w="1728"/>
          </w:tcPr>
          <w:p>
            <w:pPr>
              <w:spacing w:after="40"/>
            </w:pPr>
            <w:r>
              <w:rPr>
                <w:sz w:val="18"/>
              </w:rPr>
              <w:t>mechanism</w:t>
            </w:r>
          </w:p>
        </w:tc>
        <w:tc>
          <w:tcPr>
            <w:tcW w:type="dxa" w:w="1728"/>
          </w:tcPr>
          <w:p>
            <w:pPr>
              <w:spacing w:after="40"/>
            </w:pPr>
            <w:r>
              <w:rPr>
                <w:sz w:val="18"/>
              </w:rPr>
              <w:t>20</w:t>
            </w:r>
          </w:p>
        </w:tc>
        <w:tc>
          <w:tcPr>
            <w:tcW w:type="dxa" w:w="1728"/>
          </w:tcPr>
          <w:p>
            <w:pPr>
              <w:spacing w:after="40"/>
            </w:pPr>
            <w:r>
              <w:rPr>
                <w:sz w:val="18"/>
              </w:rPr>
              <w:t>100.0%</w:t>
            </w:r>
          </w:p>
        </w:tc>
        <w:tc>
          <w:tcPr>
            <w:tcW w:type="dxa" w:w="1728"/>
          </w:tcPr>
          <w:p>
            <w:pPr>
              <w:spacing w:after="40"/>
            </w:pPr>
            <w:r>
              <w:rPr>
                <w:sz w:val="18"/>
              </w:rPr>
              <w:t>undefined (all YES)</w:t>
            </w:r>
          </w:p>
        </w:tc>
      </w:tr>
      <w:tr>
        <w:tc>
          <w:tcPr>
            <w:tcW w:type="dxa" w:w="1728"/>
          </w:tcPr>
          <w:p>
            <w:pPr>
              <w:spacing w:after="40"/>
            </w:pPr>
            <w:r>
              <w:rPr>
                <w:sz w:val="18"/>
              </w:rPr>
              <w:t>Annotator 1 vs annotator 2</w:t>
            </w:r>
          </w:p>
        </w:tc>
        <w:tc>
          <w:tcPr>
            <w:tcW w:type="dxa" w:w="1728"/>
          </w:tcPr>
          <w:p>
            <w:pPr>
              <w:spacing w:after="40"/>
            </w:pPr>
            <w:r>
              <w:rPr>
                <w:sz w:val="18"/>
              </w:rPr>
              <w:t>ALL</w:t>
            </w:r>
          </w:p>
        </w:tc>
        <w:tc>
          <w:tcPr>
            <w:tcW w:type="dxa" w:w="1728"/>
          </w:tcPr>
          <w:p>
            <w:pPr>
              <w:spacing w:after="40"/>
            </w:pPr>
            <w:r>
              <w:rPr>
                <w:sz w:val="18"/>
              </w:rPr>
              <w:t>100</w:t>
            </w:r>
          </w:p>
        </w:tc>
        <w:tc>
          <w:tcPr>
            <w:tcW w:type="dxa" w:w="1728"/>
          </w:tcPr>
          <w:p>
            <w:pPr>
              <w:spacing w:after="40"/>
            </w:pPr>
            <w:r>
              <w:rPr>
                <w:sz w:val="18"/>
              </w:rPr>
              <w:t>95.0%</w:t>
            </w:r>
          </w:p>
        </w:tc>
        <w:tc>
          <w:tcPr>
            <w:tcW w:type="dxa" w:w="1728"/>
          </w:tcPr>
          <w:p>
            <w:pPr>
              <w:spacing w:after="40"/>
            </w:pPr>
            <w:r>
              <w:rPr>
                <w:sz w:val="18"/>
              </w:rPr>
              <w:t>0.834</w:t>
            </w:r>
          </w:p>
        </w:tc>
      </w:tr>
      <w:tr>
        <w:tc>
          <w:tcPr>
            <w:tcW w:type="dxa" w:w="1728"/>
          </w:tcPr>
          <w:p>
            <w:pPr>
              <w:spacing w:after="40"/>
            </w:pPr>
            <w:r>
              <w:rPr>
                <w:sz w:val="18"/>
              </w:rPr>
              <w:t>Compliance judge (llama3.1)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77.5%</w:t>
            </w:r>
          </w:p>
        </w:tc>
        <w:tc>
          <w:tcPr>
            <w:tcW w:type="dxa" w:w="1728"/>
          </w:tcPr>
          <w:p>
            <w:pPr>
              <w:spacing w:after="40"/>
            </w:pPr>
            <w:r>
              <w:rPr>
                <w:sz w:val="18"/>
              </w:rPr>
              <w:t>0.55</w:t>
            </w:r>
          </w:p>
        </w:tc>
      </w:tr>
      <w:tr>
        <w:tc>
          <w:tcPr>
            <w:tcW w:type="dxa" w:w="1728"/>
          </w:tcPr>
          <w:p>
            <w:pPr>
              <w:spacing w:after="40"/>
            </w:pPr>
            <w:r>
              <w:rPr>
                <w:sz w:val="18"/>
              </w:rPr>
              <w:t>Original harm judge (J0)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60.0%</w:t>
            </w:r>
          </w:p>
        </w:tc>
        <w:tc>
          <w:tcPr>
            <w:tcW w:type="dxa" w:w="1728"/>
          </w:tcPr>
          <w:p>
            <w:pPr>
              <w:spacing w:after="40"/>
            </w:pPr>
            <w:r>
              <w:rPr>
                <w:sz w:val="18"/>
              </w:rPr>
              <w:t>0.2</w:t>
            </w:r>
          </w:p>
        </w:tc>
      </w:tr>
      <w:tr>
        <w:tc>
          <w:tcPr>
            <w:tcW w:type="dxa" w:w="1728"/>
          </w:tcPr>
          <w:p>
            <w:pPr>
              <w:spacing w:after="40"/>
            </w:pPr>
            <w:r>
              <w:rPr>
                <w:sz w:val="18"/>
              </w:rPr>
              <w:t>Rubric harm judge (J1)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80.0%</w:t>
            </w:r>
          </w:p>
        </w:tc>
        <w:tc>
          <w:tcPr>
            <w:tcW w:type="dxa" w:w="1728"/>
          </w:tcPr>
          <w:p>
            <w:pPr>
              <w:spacing w:after="40"/>
            </w:pPr>
            <w:r>
              <w:rPr>
                <w:sz w:val="18"/>
              </w:rPr>
              <w:t>0.412</w:t>
            </w:r>
          </w:p>
        </w:tc>
      </w:tr>
      <w:tr>
        <w:tc>
          <w:tcPr>
            <w:tcW w:type="dxa" w:w="1728"/>
          </w:tcPr>
          <w:p>
            <w:pPr>
              <w:spacing w:after="40"/>
            </w:pPr>
            <w:r>
              <w:rPr>
                <w:sz w:val="18"/>
              </w:rPr>
              <w:t>Adopted harm judge (J2)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92.5%</w:t>
            </w:r>
          </w:p>
        </w:tc>
        <w:tc>
          <w:tcPr>
            <w:tcW w:type="dxa" w:w="1728"/>
          </w:tcPr>
          <w:p>
            <w:pPr>
              <w:spacing w:after="40"/>
            </w:pPr>
            <w:r>
              <w:rPr>
                <w:sz w:val="18"/>
              </w:rPr>
              <w:t>0.688</w:t>
            </w:r>
          </w:p>
        </w:tc>
      </w:tr>
    </w:tbl>
    <w:p>
      <w:pPr>
        <w:spacing w:after="200"/>
      </w:pPr>
      <w:r>
        <w:rPr>
          <w:i/>
          <w:sz w:val="18"/>
        </w:rPr>
        <w:t>Table 15A. Two independent blind annotators, and the judges against the second. Identical harm and mechanism labels reflect a ceiling (harm YES on 36/40 items, mechanism on 20/20). Source: phase17/data/human_label_agreement_annotator2.json.</w:t>
      </w:r>
    </w:p>
    <w:p>
      <w:pPr>
        <w:spacing w:after="120"/>
      </w:pPr>
      <w:r>
        <w:t>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Not scored (Gemini quota): C4_gemini_original, C5_gemini_rubric. Compliance results therefore rest on a judge at kappa 0.596 against people who agree with each other at about 0.731.</w:t>
      </w:r>
    </w:p>
    <w:p>
      <w:pPr>
        <w:spacing w:after="120"/>
      </w:pPr>
      <w:r>
        <w:t>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16.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r>
        <w:drawing>
          <wp:inline xmlns:a="http://schemas.openxmlformats.org/drawingml/2006/main" xmlns:pic="http://schemas.openxmlformats.org/drawingml/2006/picture">
            <wp:extent cx="5760720" cy="3744468"/>
            <wp:docPr id="1" name="Picture 1"/>
            <wp:cNvGraphicFramePr>
              <a:graphicFrameLocks noChangeAspect="1"/>
            </wp:cNvGraphicFramePr>
            <a:graphic>
              <a:graphicData uri="http://schemas.openxmlformats.org/drawingml/2006/picture">
                <pic:pic>
                  <pic:nvPicPr>
                    <pic:cNvPr id="0" name="R1_holdouts_recall_vs_fpr.png"/>
                    <pic:cNvPicPr/>
                  </pic:nvPicPr>
                  <pic:blipFill>
                    <a:blip r:embed="rId9"/>
                    <a:stretch>
                      <a:fillRect/>
                    </a:stretch>
                  </pic:blipFill>
                  <pic:spPr>
                    <a:xfrm>
                      <a:off x="0" y="0"/>
                      <a:ext cx="5760720" cy="3744468"/>
                    </a:xfrm>
                    <a:prstGeom prst="rect"/>
                  </pic:spPr>
                </pic:pic>
              </a:graphicData>
            </a:graphic>
          </wp:inline>
        </w:drawing>
      </w:r>
    </w:p>
    <w:p>
      <w:pPr>
        <w:spacing w:after="200"/>
      </w:pPr>
      <w:r>
        <w:rPr>
          <w:i/>
          <w:sz w:val="18"/>
        </w:rPr>
        <w:t>Figure 1. Every configuration on hold-outs 4-7, each scored once: attack recall against the false-positive rate on benign text (matched benign for the injection hold-outs 5 and 6; untrusted-channel benign notes for the memory-poisoning hold-outs 4 and 7). Drawn from the artifacts at build time.</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0.00024</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2e-13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4.8e-58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0.16</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0.0027</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5.8e-06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0.00076</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0.19</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FAILED</w:t>
            </w:r>
          </w:p>
        </w:tc>
        <w:tc>
          <w:tcPr>
            <w:tcW w:type="dxa" w:w="2160"/>
          </w:tcPr>
          <w:p>
            <w:pPr>
              <w:spacing w:after="40"/>
            </w:pPr>
            <w:r>
              <w:rPr>
                <w:sz w:val="18"/>
              </w:rPr>
              <w:t>89 -&gt; 88 of 309, p=1</w:t>
            </w:r>
          </w:p>
        </w:tc>
        <w:tc>
          <w:tcPr>
            <w:tcW w:type="dxa" w:w="2160"/>
          </w:tcPr>
          <w:p>
            <w:pPr>
              <w:spacing w:after="40"/>
            </w:pPr>
            <w:r>
              <w:rPr>
                <w:sz w:val="18"/>
              </w:rPr>
              <w:t>1</w:t>
            </w:r>
          </w:p>
        </w:tc>
      </w:tr>
      <w:tr>
        <w:tc>
          <w:tcPr>
            <w:tcW w:type="dxa" w:w="2160"/>
          </w:tcPr>
          <w:p>
            <w:pPr>
              <w:spacing w:after="40"/>
            </w:pPr>
            <w:r>
              <w:rPr>
                <w:sz w:val="18"/>
              </w:rPr>
              <w:t>R6-1: fresh stores: risk-weighted + corroboration exposes less than the fixed gate, p&lt;0.05 (replicates R-1)</w:t>
            </w:r>
          </w:p>
        </w:tc>
        <w:tc>
          <w:tcPr>
            <w:tcW w:type="dxa" w:w="2160"/>
          </w:tcPr>
          <w:p>
            <w:pPr>
              <w:spacing w:after="40"/>
            </w:pPr>
            <w:r>
              <w:rPr>
                <w:sz w:val="18"/>
              </w:rPr>
              <w:t>HELD</w:t>
            </w:r>
          </w:p>
        </w:tc>
        <w:tc>
          <w:tcPr>
            <w:tcW w:type="dxa" w:w="2160"/>
          </w:tcPr>
          <w:p>
            <w:pPr>
              <w:spacing w:after="40"/>
            </w:pPr>
            <w:r>
              <w:rPr>
                <w:sz w:val="18"/>
              </w:rPr>
              <w:t>76 -&gt; 68 of 309, p=0.0078</w:t>
            </w:r>
          </w:p>
        </w:tc>
        <w:tc>
          <w:tcPr>
            <w:tcW w:type="dxa" w:w="2160"/>
          </w:tcPr>
          <w:p>
            <w:pPr>
              <w:spacing w:after="40"/>
            </w:pPr>
            <w:r>
              <w:rPr>
                <w:sz w:val="18"/>
              </w:rPr>
              <w:t>0.062</w:t>
            </w:r>
          </w:p>
        </w:tc>
      </w:tr>
      <w:tr>
        <w:tc>
          <w:tcPr>
            <w:tcW w:type="dxa" w:w="2160"/>
          </w:tcPr>
          <w:p>
            <w:pPr>
              <w:spacing w:after="40"/>
            </w:pPr>
            <w:r>
              <w:rPr>
                <w:sz w:val="18"/>
              </w:rPr>
              <w:t>R6-2: campaign: the semantic fixed gate exposes less than no defense, p&lt;0.05</w:t>
            </w:r>
          </w:p>
        </w:tc>
        <w:tc>
          <w:tcPr>
            <w:tcW w:type="dxa" w:w="2160"/>
          </w:tcPr>
          <w:p>
            <w:pPr>
              <w:spacing w:after="40"/>
            </w:pPr>
            <w:r>
              <w:rPr>
                <w:sz w:val="18"/>
              </w:rPr>
              <w:t>HELD</w:t>
            </w:r>
          </w:p>
        </w:tc>
        <w:tc>
          <w:tcPr>
            <w:tcW w:type="dxa" w:w="2160"/>
          </w:tcPr>
          <w:p>
            <w:pPr>
              <w:spacing w:after="40"/>
            </w:pPr>
            <w:r>
              <w:rPr>
                <w:sz w:val="18"/>
              </w:rPr>
              <w:t>99 -&gt; 63 of 302, p=2.9e-11</w:t>
            </w:r>
          </w:p>
        </w:tc>
        <w:tc>
          <w:tcPr>
            <w:tcW w:type="dxa" w:w="2160"/>
          </w:tcPr>
          <w:p>
            <w:pPr>
              <w:spacing w:after="40"/>
            </w:pPr>
            <w:r>
              <w:rPr>
                <w:sz w:val="18"/>
              </w:rPr>
              <w:t>3.8e-10</w:t>
            </w:r>
          </w:p>
        </w:tc>
      </w:tr>
      <w:tr>
        <w:tc>
          <w:tcPr>
            <w:tcW w:type="dxa" w:w="2160"/>
          </w:tcPr>
          <w:p>
            <w:pPr>
              <w:spacing w:after="40"/>
            </w:pPr>
            <w:r>
              <w:rPr>
                <w:sz w:val="18"/>
              </w:rPr>
              <w:t>R6-3: campaign: the lexical gate removes fewer exposures than the semantic gate</w:t>
            </w:r>
          </w:p>
        </w:tc>
        <w:tc>
          <w:tcPr>
            <w:tcW w:type="dxa" w:w="2160"/>
          </w:tcPr>
          <w:p>
            <w:pPr>
              <w:spacing w:after="40"/>
            </w:pPr>
            <w:r>
              <w:rPr>
                <w:sz w:val="18"/>
              </w:rPr>
              <w:t>HELD</w:t>
            </w:r>
          </w:p>
        </w:tc>
        <w:tc>
          <w:tcPr>
            <w:tcW w:type="dxa" w:w="2160"/>
          </w:tcPr>
          <w:p>
            <w:pPr>
              <w:spacing w:after="40"/>
            </w:pPr>
            <w:r>
              <w:rPr>
                <w:sz w:val="18"/>
              </w:rPr>
              <w:t>lexical -1 vs semantic 36</w:t>
            </w:r>
          </w:p>
        </w:tc>
        <w:tc>
          <w:tcPr>
            <w:tcW w:type="dxa" w:w="2160"/>
          </w:tcPr>
          <w:p>
            <w:pPr>
              <w:spacing w:after="40"/>
            </w:pPr>
            <w:r>
              <w:rPr>
                <w:sz w:val="18"/>
              </w:rPr>
              <w:t>-</w:t>
            </w:r>
          </w:p>
        </w:tc>
      </w:tr>
      <w:tr>
        <w:tc>
          <w:tcPr>
            <w:tcW w:type="dxa" w:w="2160"/>
          </w:tcPr>
          <w:p>
            <w:pPr>
              <w:spacing w:after="40"/>
            </w:pPr>
            <w:r>
              <w:rPr>
                <w:sz w:val="18"/>
              </w:rPr>
              <w:t>R6-4: campaign: semantic gate benign displacement &lt;= 5 points</w:t>
            </w:r>
          </w:p>
        </w:tc>
        <w:tc>
          <w:tcPr>
            <w:tcW w:type="dxa" w:w="2160"/>
          </w:tcPr>
          <w:p>
            <w:pPr>
              <w:spacing w:after="40"/>
            </w:pPr>
            <w:r>
              <w:rPr>
                <w:sz w:val="18"/>
              </w:rPr>
              <w:t>HELD</w:t>
            </w:r>
          </w:p>
        </w:tc>
        <w:tc>
          <w:tcPr>
            <w:tcW w:type="dxa" w:w="2160"/>
          </w:tcPr>
          <w:p>
            <w:pPr>
              <w:spacing w:after="40"/>
            </w:pPr>
            <w:r>
              <w:rPr>
                <w:sz w:val="18"/>
              </w:rPr>
              <w:t>2.78 points</w:t>
            </w:r>
          </w:p>
        </w:tc>
        <w:tc>
          <w:tcPr>
            <w:tcW w:type="dxa" w:w="2160"/>
          </w:tcPr>
          <w:p>
            <w:pPr>
              <w:spacing w:after="40"/>
            </w:pPr>
            <w:r>
              <w:rPr>
                <w:sz w:val="18"/>
              </w:rPr>
              <w:t>-</w:t>
            </w:r>
          </w:p>
        </w:tc>
      </w:tr>
      <w:tr>
        <w:tc>
          <w:tcPr>
            <w:tcW w:type="dxa" w:w="2160"/>
          </w:tcPr>
          <w:p>
            <w:pPr>
              <w:spacing w:after="40"/>
            </w:pPr>
            <w:r>
              <w:rPr>
                <w:sz w:val="18"/>
              </w:rPr>
              <w:t>P8-1: the frame reduces direct-question usefulness on 600 new benign notes, p&lt;0.05</w:t>
            </w:r>
          </w:p>
        </w:tc>
        <w:tc>
          <w:tcPr>
            <w:tcW w:type="dxa" w:w="2160"/>
          </w:tcPr>
          <w:p>
            <w:pPr>
              <w:spacing w:after="40"/>
            </w:pPr>
            <w:r>
              <w:rPr>
                <w:sz w:val="18"/>
              </w:rPr>
              <w:t>FAILED</w:t>
            </w:r>
          </w:p>
        </w:tc>
        <w:tc>
          <w:tcPr>
            <w:tcW w:type="dxa" w:w="2160"/>
          </w:tcPr>
          <w:p>
            <w:pPr>
              <w:spacing w:after="40"/>
            </w:pPr>
            <w:r>
              <w:rPr>
                <w:sz w:val="18"/>
              </w:rPr>
              <w:t>372 -&gt; 349 of 600, p=0.056</w:t>
            </w:r>
          </w:p>
        </w:tc>
        <w:tc>
          <w:tcPr>
            <w:tcW w:type="dxa" w:w="2160"/>
          </w:tcPr>
          <w:p>
            <w:pPr>
              <w:spacing w:after="40"/>
            </w:pPr>
            <w:r>
              <w:rPr>
                <w:sz w:val="18"/>
              </w:rPr>
              <w:t>0.22</w:t>
            </w:r>
          </w:p>
        </w:tc>
      </w:tr>
      <w:tr>
        <w:tc>
          <w:tcPr>
            <w:tcW w:type="dxa" w:w="2160"/>
          </w:tcPr>
          <w:p>
            <w:pPr>
              <w:spacing w:after="40"/>
            </w:pPr>
            <w:r>
              <w:rPr>
                <w:sz w:val="18"/>
              </w:rPr>
              <w:t>P8-2: the frame reduces own-attack harm (pooled over original + new instances, amendment), p&lt;0.05</w:t>
            </w:r>
          </w:p>
        </w:tc>
        <w:tc>
          <w:tcPr>
            <w:tcW w:type="dxa" w:w="2160"/>
          </w:tcPr>
          <w:p>
            <w:pPr>
              <w:spacing w:after="40"/>
            </w:pPr>
            <w:r>
              <w:rPr>
                <w:sz w:val="18"/>
              </w:rPr>
              <w:t>HELD</w:t>
            </w:r>
          </w:p>
        </w:tc>
        <w:tc>
          <w:tcPr>
            <w:tcW w:type="dxa" w:w="2160"/>
          </w:tcPr>
          <w:p>
            <w:pPr>
              <w:spacing w:after="40"/>
            </w:pPr>
            <w:r>
              <w:rPr>
                <w:sz w:val="18"/>
              </w:rPr>
              <w:t>123 -&gt; 104 of 424, p=0.037 (new 175 alone: 53 -&gt; 44, p_new 0.15)</w:t>
            </w:r>
          </w:p>
        </w:tc>
        <w:tc>
          <w:tcPr>
            <w:tcW w:type="dxa" w:w="2160"/>
          </w:tcPr>
          <w:p>
            <w:pPr>
              <w:spacing w:after="40"/>
            </w:pPr>
            <w:r>
              <w:rPr>
                <w:sz w:val="18"/>
              </w:rPr>
              <w:t>0.19</w:t>
            </w:r>
          </w:p>
        </w:tc>
      </w:tr>
    </w:tbl>
    <w:p>
      <w:pPr>
        <w:spacing w:after="120"/>
      </w:pPr>
      <w:r>
        <w:t>Multiplicity. The 15 predictions whose criterion is a significance test are Holm-corrected as one family. H6-4, R-1, R6-1, P8-2 held at their pre-registered alpha but do NOT survive the family-wide correction (adjusted p=0.16, 0.19, 0.062, 0.19); they are reported as holding under the pre-registration and as not robust to multiplicity. Every other held significance prediction survives.</w:t>
      </w:r>
    </w:p>
    <w:p>
      <w:pPr>
        <w:spacing w:after="200"/>
      </w:pPr>
      <w:r>
        <w:rPr>
          <w:i/>
          <w:sz w:val="18"/>
        </w:rPr>
        <w:t>Table 17. Every round-7 pre-registered prediction, scored mechanically from the artifacts (phase17/report_round7.py): 39/47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a loss of 5.0 points (p=0.082): at the edge of this document's noise floor and not significant, so it is reported as a possible small cost rather than none. The harmful v1 frame, by contrast, cost 10 points.</w:t>
      </w:r>
    </w:p>
    <w:p>
      <w:pPr>
        <w:spacing w:after="120"/>
      </w:pPr>
      <w:r>
        <w:t>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p>
      <w:r>
        <w:drawing>
          <wp:inline xmlns:a="http://schemas.openxmlformats.org/drawingml/2006/main" xmlns:pic="http://schemas.openxmlformats.org/drawingml/2006/picture">
            <wp:extent cx="5760720" cy="2982020"/>
            <wp:docPr id="2" name="Picture 2"/>
            <wp:cNvGraphicFramePr>
              <a:graphicFrameLocks noChangeAspect="1"/>
            </wp:cNvGraphicFramePr>
            <a:graphic>
              <a:graphicData uri="http://schemas.openxmlformats.org/drawingml/2006/picture">
                <pic:pic>
                  <pic:nvPicPr>
                    <pic:cNvPr id="0" name="R3_adaptive.png"/>
                    <pic:cNvPicPr/>
                  </pic:nvPicPr>
                  <pic:blipFill>
                    <a:blip r:embed="rId10"/>
                    <a:stretch>
                      <a:fillRect/>
                    </a:stretch>
                  </pic:blipFill>
                  <pic:spPr>
                    <a:xfrm>
                      <a:off x="0" y="0"/>
                      <a:ext cx="5760720" cy="2982020"/>
                    </a:xfrm>
                    <a:prstGeom prst="rect"/>
                  </pic:spPr>
                </pic:pic>
              </a:graphicData>
            </a:graphic>
          </wp:inline>
        </w:drawing>
      </w:r>
    </w:p>
    <w:p>
      <w:pPr>
        <w:spacing w:after="200"/>
      </w:pPr>
      <w:r>
        <w:rPr>
          <w:i/>
          <w:sz w:val="18"/>
        </w:rPr>
        <w:t>Figure 2. Adaptive evasion within five feedback-guided rewrites: stateless detection and corroboration, each alone and behind the rejection ledger at radius 0.95. Development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1.7%</w:t>
            </w:r>
          </w:p>
        </w:tc>
        <w:tc>
          <w:tcPr>
            <w:tcW w:type="dxa" w:w="1728"/>
          </w:tcPr>
          <w:p>
            <w:pPr>
              <w:spacing w:after="40"/>
            </w:pPr>
            <w:r>
              <w:rPr>
                <w:sz w:val="18"/>
              </w:rPr>
              <w:t>34.2%</w:t>
            </w:r>
          </w:p>
        </w:tc>
        <w:tc>
          <w:tcPr>
            <w:tcW w:type="dxa" w:w="1728"/>
          </w:tcPr>
          <w:p>
            <w:pPr>
              <w:spacing w:after="40"/>
            </w:pPr>
            <w:r>
              <w:rPr>
                <w:sz w:val="18"/>
              </w:rPr>
              <w:t>5.0%</w:t>
            </w:r>
          </w:p>
        </w:tc>
        <w:tc>
          <w:tcPr>
            <w:tcW w:type="dxa" w:w="1728"/>
          </w:tcPr>
          <w:p>
            <w:pPr>
              <w:spacing w:after="40"/>
            </w:pPr>
            <w:r>
              <w:rPr>
                <w:sz w:val="18"/>
              </w:rPr>
              <w:t>2.8e-09</w:t>
            </w:r>
          </w:p>
        </w:tc>
      </w:tr>
      <w:tr>
        <w:tc>
          <w:tcPr>
            <w:tcW w:type="dxa" w:w="1728"/>
          </w:tcPr>
          <w:p>
            <w:pPr>
              <w:spacing w:after="40"/>
            </w:pPr>
            <w:r>
              <w:rPr>
                <w:sz w:val="18"/>
              </w:rPr>
              <w:t>J2_gemini_original</w:t>
            </w:r>
          </w:p>
        </w:tc>
        <w:tc>
          <w:tcPr>
            <w:tcW w:type="dxa" w:w="1728"/>
          </w:tcPr>
          <w:p>
            <w:pPr>
              <w:spacing w:after="40"/>
            </w:pPr>
            <w:r>
              <w:rPr>
                <w:sz w:val="18"/>
              </w:rPr>
              <w:t>3.3%</w:t>
            </w:r>
          </w:p>
        </w:tc>
        <w:tc>
          <w:tcPr>
            <w:tcW w:type="dxa" w:w="1728"/>
          </w:tcPr>
          <w:p>
            <w:pPr>
              <w:spacing w:after="40"/>
            </w:pPr>
            <w:r>
              <w:rPr>
                <w:sz w:val="18"/>
              </w:rPr>
              <w:t>46.7%</w:t>
            </w:r>
          </w:p>
        </w:tc>
        <w:tc>
          <w:tcPr>
            <w:tcW w:type="dxa" w:w="1728"/>
          </w:tcPr>
          <w:p>
            <w:pPr>
              <w:spacing w:after="40"/>
            </w:pPr>
            <w:r>
              <w:rPr>
                <w:sz w:val="18"/>
              </w:rPr>
              <w:t>8.3%</w:t>
            </w:r>
          </w:p>
        </w:tc>
        <w:tc>
          <w:tcPr>
            <w:tcW w:type="dxa" w:w="1728"/>
          </w:tcPr>
          <w:p>
            <w:pPr>
              <w:spacing w:after="40"/>
            </w:pPr>
            <w:r>
              <w:rPr>
                <w:sz w:val="18"/>
              </w:rPr>
              <w:t>2.8e-14</w:t>
            </w:r>
          </w:p>
        </w:tc>
      </w:tr>
    </w:tbl>
    <w:p>
      <w:pPr>
        <w:spacing w:after="200"/>
      </w:pPr>
      <w:r>
        <w:rPr>
          <w:i/>
          <w:sz w:val="18"/>
        </w:rPr>
        <w:t>Table 19. The harm study re-judged on identical full-text answers by the original judge and by the judge adopted against held-back human labels (J2_gemini_original), on the stratum of families where both judges' coverage is complete (120 items: authority_impersonation, conditional_backdoor, exfiltration_instruction, memory_worm, policy_revocation, preference_hijack). PARTIAL: the Gemini free-tier daily quota (500 requests) ran out with 166 no-poison verdicts outstanding. Undefended harm is complete on all items; base rate and B13 arms are on the named family stratum only. Complete with `python -m phase17.harm_judge_fix rejudge` after the quota resets. The original judge's figures elsewhere in this document stand as measured. Source: phase17/data/harm_rejudged.json.</w:t>
      </w:r>
    </w:p>
    <w:p>
      <w:r>
        <w:drawing>
          <wp:inline xmlns:a="http://schemas.openxmlformats.org/drawingml/2006/main" xmlns:pic="http://schemas.openxmlformats.org/drawingml/2006/picture">
            <wp:extent cx="5760720" cy="2534717"/>
            <wp:docPr id="3" name="Picture 3"/>
            <wp:cNvGraphicFramePr>
              <a:graphicFrameLocks noChangeAspect="1"/>
            </wp:cNvGraphicFramePr>
            <a:graphic>
              <a:graphicData uri="http://schemas.openxmlformats.org/drawingml/2006/picture">
                <pic:pic>
                  <pic:nvPicPr>
                    <pic:cNvPr id="0" name="R2_harm.png"/>
                    <pic:cNvPicPr/>
                  </pic:nvPicPr>
                  <pic:blipFill>
                    <a:blip r:embed="rId11"/>
                    <a:stretch>
                      <a:fillRect/>
                    </a:stretch>
                  </pic:blipFill>
                  <pic:spPr>
                    <a:xfrm>
                      <a:off x="0" y="0"/>
                      <a:ext cx="5760720" cy="2534717"/>
                    </a:xfrm>
                    <a:prstGeom prst="rect"/>
                  </pic:spPr>
                </pic:pic>
              </a:graphicData>
            </a:graphic>
          </wp:inline>
        </w:drawing>
      </w:r>
    </w:p>
    <w:p>
      <w:pPr>
        <w:spacing w:after="200"/>
      </w:pPr>
      <w:r>
        <w:rPr>
          <w:i/>
          <w:sz w:val="18"/>
        </w:rPr>
        <w:t>Figure 3. Left: the harm study's four arms with 95% Wilson intervals (original judge). Right: the same undefended answers scored by the original judge and by the judge adopted against held-back human labels.</w:t>
      </w:r>
    </w:p>
    <w:p>
      <w:pPr>
        <w:spacing w:after="120"/>
      </w:pPr>
      <w:r>
        <w:t>On all 309 instances (complete under both judges), undefended harm is 32.0% under J0_current against 58.3% under J2_gemini_original (paired p=6.1e-18). This is the question the re-measurement exists for: whether harm LEVELS in this document are under-estimates.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evaluated for the first time (pre-registration addendum 5). It was built and unit-tested in Phase 10 but never measured: the offline pipeline gives every candidate one constant retrieval score, and Phase 14's live path is exclusion-only, so a downrank changed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FAILED: the existing guard does not measurably reduce exposure), and corroboration can only help where an admission signal fired -- on the poison in 28 of 309 instances and on no benign memory.</w:t>
      </w:r>
    </w:p>
    <w:p>
      <w:pPr>
        <w:spacing w:after="120"/>
      </w:pPr>
      <w:r>
        <w:t>Phase 10's risk-weighted MONITORING, evaluated for the first time (development data; it only orders a review queue, so the question is whether real poison reaches the top). In realistic retrieval pools -- the top 20 memories for each of 309 harm-study tasks -- B9 puts the poison on the review list in only 43 retrievals, and the lists are short (on average 0.75 items, 0.61 of them benign). When the poison is listed, risk ordering puts it first in 39 of 43 cases against 33.5 expected from the default order: the surface works as designed but has little to do. A first design that pooled unrelated items at random gave a much larger gain (precision 100% in the first 50 against 43%) but is reported only as an artifact: in a pool of unrelated items lexical divergence is positive for every item, so B9 routed 1706 of 1858 items to validation -- a queue no reviewer would face.</w:t>
      </w:r>
    </w:p>
    <w:p>
      <w:pPr>
        <w:spacing w:after="120"/>
      </w:pPr>
      <w:r>
        <w:t>Replication on fresh stores (pre-registration addendum 6: LoCoMo conversations no phase-17 measurement had used). Corroboration's gain replicated: 76 -&gt; 68 of 309 against the fixed gate (+0/-8, p=0.0078), so across the two independent store sets it removes the poison from the context in 14 cases and adds it in none. The lexical fixed gate again did nothing (76 -&gt; 76); the semantic gate, pre-specified as an arm but carrying no prediction, did act on these stores (76 -&gt; 67, p=0.0039, at 2.78 points of benign displacement) where on the original stores it had not -- so its single-poison benefit is store-dependent, and is reported as such.</w:t>
      </w:r>
    </w:p>
    <w:p>
      <w:pPr>
        <w:spacing w:after="120"/>
      </w:pPr>
      <w:r>
        <w:t>The consensus guard on the threat it was built for (addendum 6). The guard flags clusters of near-duplicate memories, and a single planted poison is never a cluster -- the diagnosis behind R-4's failure. With each poison planted alongside two NLI-validated paraphrases (a coordinated campaign; 302 instances, 7 excluded for lacking two valid paraphrases), any copy reached the agent in 99 cases undefended, 100 under the lexical gate and 63 under the semantic gate (p=2.9e-11 against none), at 2.78 points of benign displacement; with corroboration, 60. Read together: the retrieval guard is inert against a single poison and effective against a coordinated campaign once its divergence is semantic.</w:t>
      </w:r>
    </w:p>
    <w:p>
      <w:r>
        <w:drawing>
          <wp:inline xmlns:a="http://schemas.openxmlformats.org/drawingml/2006/main" xmlns:pic="http://schemas.openxmlformats.org/drawingml/2006/picture">
            <wp:extent cx="5760720" cy="2816352"/>
            <wp:docPr id="4" name="Picture 4"/>
            <wp:cNvGraphicFramePr>
              <a:graphicFrameLocks noChangeAspect="1"/>
            </wp:cNvGraphicFramePr>
            <a:graphic>
              <a:graphicData uri="http://schemas.openxmlformats.org/drawingml/2006/picture">
                <pic:pic>
                  <pic:nvPicPr>
                    <pic:cNvPr id="0" name="R4_retrieval.png"/>
                    <pic:cNvPicPr/>
                  </pic:nvPicPr>
                  <pic:blipFill>
                    <a:blip r:embed="rId12"/>
                    <a:stretch>
                      <a:fillRect/>
                    </a:stretch>
                  </pic:blipFill>
                  <pic:spPr>
                    <a:xfrm>
                      <a:off x="0" y="0"/>
                      <a:ext cx="5760720" cy="2816352"/>
                    </a:xfrm>
                    <a:prstGeom prst="rect"/>
                  </pic:spPr>
                </pic:pic>
              </a:graphicData>
            </a:graphic>
          </wp:inline>
        </w:drawing>
      </w:r>
    </w:p>
    <w:p>
      <w:pPr>
        <w:spacing w:after="200"/>
      </w:pPr>
      <w:r>
        <w:rPr>
          <w:i/>
          <w:sz w:val="18"/>
        </w:rPr>
        <w:t>Figure 4. How often the poison reaches the agent's top five on fresh stores, for a single poison and for a coordinated campaign (poison plus two paraphrases), under each retrieval arm. Development data.</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16;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20.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13C. Round 7 in Brief</w:t>
      </w:r>
    </w:p>
    <w:p>
      <w:pPr>
        <w:spacing w:after="120"/>
      </w:pPr>
      <w:r>
        <w:t>Round 7 tested this project's own claims against data built to break them. Of 47 pre-registered predictions 39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 harm levels measured with the original LLM judge were about half what a human-validated judge finds, while the reductions hold under both.</w:t>
      </w:r>
    </w:p>
    <w:p>
      <w:pPr>
        <w:pStyle w:val="Heading1"/>
      </w:pPr>
      <w:r>
        <w:t>14. Publishability, Against the Two-Sided Standard</w:t>
      </w:r>
    </w:p>
    <w:p>
      <w:pPr>
        <w:spacing w:after="120"/>
      </w:pPr>
      <w:r>
        <w:t>The verdict below is computed by phase17/publishability.py from the artifacts, not written by hand. Each criterion is PASS, FAIL or PENDING; evidence not yet produced is PENDING, never PASS. Publishable requires every criterion to pass and every disqualifier to be clear.</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Criterion</w:t>
            </w:r>
          </w:p>
        </w:tc>
        <w:tc>
          <w:tcPr>
            <w:tcW w:type="dxa" w:w="2880"/>
          </w:tcPr>
          <w:p>
            <w:pPr>
              <w:spacing w:after="40"/>
            </w:pPr>
            <w:r>
              <w:rPr>
                <w:b/>
                <w:sz w:val="18"/>
              </w:rPr>
              <w:t>Status</w:t>
            </w:r>
          </w:p>
        </w:tc>
        <w:tc>
          <w:tcPr>
            <w:tcW w:type="dxa" w:w="2880"/>
          </w:tcPr>
          <w:p>
            <w:pPr>
              <w:spacing w:after="40"/>
            </w:pPr>
            <w:r>
              <w:rPr>
                <w:b/>
                <w:sz w:val="18"/>
              </w:rPr>
              <w:t>Evidence</w:t>
            </w:r>
          </w:p>
        </w:tc>
      </w:tr>
      <w:tr>
        <w:tc>
          <w:tcPr>
            <w:tcW w:type="dxa" w:w="2880"/>
          </w:tcPr>
          <w:p>
            <w:pPr>
              <w:spacing w:after="40"/>
            </w:pPr>
            <w:r>
              <w:rPr>
                <w:sz w:val="18"/>
              </w:rPr>
              <w:t>traceable</w:t>
            </w:r>
          </w:p>
        </w:tc>
        <w:tc>
          <w:tcPr>
            <w:tcW w:type="dxa" w:w="2880"/>
          </w:tcPr>
          <w:p>
            <w:pPr>
              <w:spacing w:after="40"/>
            </w:pPr>
            <w:r>
              <w:rPr>
                <w:sz w:val="18"/>
              </w:rPr>
              <w:t>PASS</w:t>
            </w:r>
          </w:p>
        </w:tc>
        <w:tc>
          <w:tcPr>
            <w:tcW w:type="dxa" w:w="2880"/>
          </w:tcPr>
          <w:p>
            <w:pPr>
              <w:spacing w:after="40"/>
            </w:pPr>
            <w:r>
              <w:rPr>
                <w:sz w:val="18"/>
              </w:rPr>
              <w:t>80 inventory rows; missing artifacts: none</w:t>
            </w:r>
          </w:p>
        </w:tc>
      </w:tr>
      <w:tr>
        <w:tc>
          <w:tcPr>
            <w:tcW w:type="dxa" w:w="2880"/>
          </w:tcPr>
          <w:p>
            <w:pPr>
              <w:spacing w:after="40"/>
            </w:pPr>
            <w:r>
              <w:rPr>
                <w:sz w:val="18"/>
              </w:rPr>
              <w:t>fpr and both denominators</w:t>
            </w:r>
          </w:p>
        </w:tc>
        <w:tc>
          <w:tcPr>
            <w:tcW w:type="dxa" w:w="2880"/>
          </w:tcPr>
          <w:p>
            <w:pPr>
              <w:spacing w:after="40"/>
            </w:pPr>
            <w:r>
              <w:rPr>
                <w:sz w:val="18"/>
              </w:rPr>
              <w:t>PASS</w:t>
            </w:r>
          </w:p>
        </w:tc>
        <w:tc>
          <w:tcPr>
            <w:tcW w:type="dxa" w:w="2880"/>
          </w:tcPr>
          <w:p>
            <w:pPr>
              <w:spacing w:after="40"/>
            </w:pPr>
            <w:r>
              <w:rPr>
                <w:sz w:val="18"/>
              </w:rPr>
              <w:t>holdout4: working=86; holdout5: working=47; holdout6: working=294; holdout7: working=NOT_REPORTABLE</w:t>
            </w:r>
          </w:p>
        </w:tc>
      </w:tr>
      <w:tr>
        <w:tc>
          <w:tcPr>
            <w:tcW w:type="dxa" w:w="2880"/>
          </w:tcPr>
          <w:p>
            <w:pPr>
              <w:spacing w:after="40"/>
            </w:pPr>
            <w:r>
              <w:rPr>
                <w:sz w:val="18"/>
              </w:rPr>
              <w:t>holdout informed labelled</w:t>
            </w:r>
          </w:p>
        </w:tc>
        <w:tc>
          <w:tcPr>
            <w:tcW w:type="dxa" w:w="2880"/>
          </w:tcPr>
          <w:p>
            <w:pPr>
              <w:spacing w:after="40"/>
            </w:pPr>
            <w:r>
              <w:rPr>
                <w:sz w:val="18"/>
              </w:rPr>
              <w:t>PASS</w:t>
            </w:r>
          </w:p>
        </w:tc>
        <w:tc>
          <w:tcPr>
            <w:tcW w:type="dxa" w:w="2880"/>
          </w:tcPr>
          <w:p>
            <w:pPr>
              <w:spacing w:after="40"/>
            </w:pPr>
            <w:r>
              <w:rPr>
                <w:sz w:val="18"/>
              </w:rPr>
              <w:t>superseded/unlabelled claims standing: none</w:t>
            </w:r>
          </w:p>
        </w:tc>
      </w:tr>
      <w:tr>
        <w:tc>
          <w:tcPr>
            <w:tcW w:type="dxa" w:w="2880"/>
          </w:tcPr>
          <w:p>
            <w:pPr>
              <w:spacing w:after="40"/>
            </w:pPr>
            <w:r>
              <w:rPr>
                <w:sz w:val="18"/>
              </w:rPr>
              <w:t>negatives in place</w:t>
            </w:r>
          </w:p>
        </w:tc>
        <w:tc>
          <w:tcPr>
            <w:tcW w:type="dxa" w:w="2880"/>
          </w:tcPr>
          <w:p>
            <w:pPr>
              <w:spacing w:after="40"/>
            </w:pPr>
            <w:r>
              <w:rPr>
                <w:sz w:val="18"/>
              </w:rPr>
              <w:t>PASS</w:t>
            </w:r>
          </w:p>
        </w:tc>
        <w:tc>
          <w:tcPr>
            <w:tcW w:type="dxa" w:w="2880"/>
          </w:tcPr>
          <w:p>
            <w:pPr>
              <w:spacing w:after="40"/>
            </w:pPr>
            <w:r>
              <w:rPr>
                <w:sz w:val="18"/>
              </w:rPr>
              <w:t>39/47 held; failures reported in place: ['H5-3', 'H5-6', 'H5-7', 'H6-6', 'H7-6', 'H7-7', 'R-4', 'P8-1']; unscored: none</w:t>
            </w:r>
          </w:p>
        </w:tc>
      </w:tr>
      <w:tr>
        <w:tc>
          <w:tcPr>
            <w:tcW w:type="dxa" w:w="2880"/>
          </w:tcPr>
          <w:p>
            <w:pPr>
              <w:spacing w:after="40"/>
            </w:pPr>
            <w:r>
              <w:rPr>
                <w:sz w:val="18"/>
              </w:rPr>
              <w:t>full suite passes</w:t>
            </w:r>
          </w:p>
        </w:tc>
        <w:tc>
          <w:tcPr>
            <w:tcW w:type="dxa" w:w="2880"/>
          </w:tcPr>
          <w:p>
            <w:pPr>
              <w:spacing w:after="40"/>
            </w:pPr>
            <w:r>
              <w:rPr>
                <w:sz w:val="18"/>
              </w:rPr>
              <w:t>PENDING</w:t>
            </w:r>
          </w:p>
        </w:tc>
        <w:tc>
          <w:tcPr>
            <w:tcW w:type="dxa" w:w="2880"/>
          </w:tcPr>
          <w:p>
            <w:pPr>
              <w:spacing w:after="40"/>
            </w:pPr>
            <w:r>
              <w:rPr>
                <w:sz w:val="18"/>
              </w:rPr>
              <w:t>cross-phase audit predates the latest source change; re-run it</w:t>
            </w:r>
          </w:p>
        </w:tc>
      </w:tr>
      <w:tr>
        <w:tc>
          <w:tcPr>
            <w:tcW w:type="dxa" w:w="2880"/>
          </w:tcPr>
          <w:p>
            <w:pPr>
              <w:spacing w:after="40"/>
            </w:pPr>
            <w:r>
              <w:rPr>
                <w:sz w:val="18"/>
              </w:rPr>
              <w:t>above noise floor</w:t>
            </w:r>
          </w:p>
        </w:tc>
        <w:tc>
          <w:tcPr>
            <w:tcW w:type="dxa" w:w="2880"/>
          </w:tcPr>
          <w:p>
            <w:pPr>
              <w:spacing w:after="40"/>
            </w:pPr>
            <w:r>
              <w:rPr>
                <w:sz w:val="18"/>
              </w:rPr>
              <w:t>PASS</w:t>
            </w:r>
          </w:p>
        </w:tc>
        <w:tc>
          <w:tcPr>
            <w:tcW w:type="dxa" w:w="2880"/>
          </w:tcPr>
          <w:p>
            <w:pPr>
              <w:spacing w:after="40"/>
            </w:pPr>
            <w:r>
              <w:rPr>
                <w:sz w:val="18"/>
              </w:rPr>
              <w:t>provenance reaches memory poisoning (HO4, B13 vs B14 recall): +29.9 vs floor 4.4 (n=157); powered composition (HO6, P2 -&gt; P4 harm): +3.8 vs floor 2.4 (n=500); framing helps a stronger agent (Gemini): +32.5 vs floor 5.0 (n=120)</w:t>
            </w:r>
          </w:p>
        </w:tc>
      </w:tr>
      <w:tr>
        <w:tc>
          <w:tcPr>
            <w:tcW w:type="dxa" w:w="2880"/>
          </w:tcPr>
          <w:p>
            <w:pPr>
              <w:spacing w:after="40"/>
            </w:pPr>
            <w:r>
              <w:rPr>
                <w:sz w:val="18"/>
              </w:rPr>
              <w:t>all measurements complete</w:t>
            </w:r>
          </w:p>
        </w:tc>
        <w:tc>
          <w:tcPr>
            <w:tcW w:type="dxa" w:w="2880"/>
          </w:tcPr>
          <w:p>
            <w:pPr>
              <w:spacing w:after="40"/>
            </w:pPr>
            <w:r>
              <w:rPr>
                <w:sz w:val="18"/>
              </w:rPr>
              <w:t>PENDING</w:t>
            </w:r>
          </w:p>
        </w:tc>
        <w:tc>
          <w:tcPr>
            <w:tcW w:type="dxa" w:w="2880"/>
          </w:tcPr>
          <w:p>
            <w:pPr>
              <w:spacing w:after="40"/>
            </w:pPr>
            <w:r>
              <w:rPr>
                <w:sz w:val="18"/>
              </w:rPr>
              <w:t>partial: ['compliance_judge_fix.json', 'harm_rejudged.json']</w:t>
            </w:r>
          </w:p>
        </w:tc>
      </w:tr>
      <w:tr>
        <w:tc>
          <w:tcPr>
            <w:tcW w:type="dxa" w:w="2880"/>
          </w:tcPr>
          <w:p>
            <w:pPr>
              <w:spacing w:after="40"/>
            </w:pPr>
            <w:r>
              <w:rPr>
                <w:sz w:val="18"/>
              </w:rPr>
              <w:t>disqualifier clear: unlabelled repeated holdout</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untested family reported untested</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every guard mutation proven</w:t>
            </w:r>
          </w:p>
        </w:tc>
        <w:tc>
          <w:tcPr>
            <w:tcW w:type="dxa" w:w="2880"/>
          </w:tcPr>
          <w:p>
            <w:pPr>
              <w:spacing w:after="40"/>
            </w:pPr>
            <w:r>
              <w:rPr>
                <w:sz w:val="18"/>
              </w:rPr>
              <w:t>CLEAR</w:t>
            </w:r>
          </w:p>
        </w:tc>
        <w:tc>
          <w:tcPr>
            <w:tcW w:type="dxa" w:w="2880"/>
          </w:tcPr>
          <w:p>
            <w:pPr>
              <w:spacing w:after="40"/>
            </w:pPr>
            <w:r>
              <w:rPr>
                <w:sz w:val="18"/>
              </w:rPr>
              <w:t>35/35 proven</w:t>
            </w:r>
          </w:p>
        </w:tc>
      </w:tr>
    </w:tbl>
    <w:p>
      <w:pPr>
        <w:spacing w:after="200"/>
      </w:pPr>
      <w:r>
        <w:rPr>
          <w:i/>
          <w:sz w:val="18"/>
        </w:rPr>
        <w:t>Table 21. Verdict: PENDING. Source: phase17/data/publishability.json.</w:t>
      </w:r>
    </w:p>
    <w:p>
      <w:pPr>
        <w:spacing w:after="120"/>
      </w:pPr>
      <w:r>
        <w:t>Disclosed as PARTIAL, each labelled where it is reported: compliance_judge_fix.json, harm_rejudged.json.</w:t>
      </w:r>
    </w:p>
    <w:p>
      <w:pPr>
        <w:spacing w:after="120"/>
      </w:pPr>
      <w:r>
        <w:t>VERDICT: PENDING. No verdict is stated until every scheduled measurement is complete; the criteria above show what is outstanding.</w:t>
      </w:r>
    </w:p>
    <w:p>
      <w:pPr>
        <w:spacing w:after="120"/>
      </w:pPr>
      <w:r>
        <w:t>Whatever the verdict, what publishable does not mean: the harm LEVELS rest on an LLM judge that two independent annotators found to miss harm (Section 13A), the human check rests on 100 items, and conditional backdoors remain untested on a clean hold-out. Those limits are stated where the numbers appear; the standard requires them to be visible, not absent.</w:t>
      </w:r>
    </w:p>
    <w:p>
      <w:pPr>
        <w:pStyle w:val="Heading1"/>
      </w:pPr>
      <w:r>
        <w:t>Definitions and Formulas</w:t>
      </w:r>
    </w:p>
    <w:p>
      <w:pPr>
        <w:spacing w:after="120"/>
      </w:pPr>
      <w:r>
        <w:t>Every reported number is a count turned into a rate or a test by one of the formulas below; each names the code that computes it, constants included, so any figure in this document can be recomputed from its counts. The same table appears in the methodology.</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Quantity</w:t>
            </w:r>
          </w:p>
        </w:tc>
        <w:tc>
          <w:tcPr>
            <w:tcW w:type="dxa" w:w="2880"/>
          </w:tcPr>
          <w:p>
            <w:pPr>
              <w:spacing w:after="40"/>
            </w:pPr>
            <w:r>
              <w:rPr>
                <w:b/>
                <w:sz w:val="18"/>
              </w:rPr>
              <w:t>Formula</w:t>
            </w:r>
          </w:p>
        </w:tc>
        <w:tc>
          <w:tcPr>
            <w:tcW w:type="dxa" w:w="2880"/>
          </w:tcPr>
          <w:p>
            <w:pPr>
              <w:spacing w:after="40"/>
            </w:pPr>
            <w:r>
              <w:rPr>
                <w:b/>
                <w:sz w:val="18"/>
              </w:rPr>
              <w:t>Computed in</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Rate and 95% Wilson interval</w:t>
            </w:r>
          </w:p>
        </w:tc>
        <w:tc>
          <w:tcPr>
            <w:tcW w:type="dxa" w:w="2880"/>
          </w:tcPr>
          <w:p>
            <w:pPr>
              <w:spacing w:after="40"/>
            </w:pPr>
            <w:r>
              <w:rPr>
                <w:sz w:val="18"/>
              </w:rPr>
              <w:t>p̂ = k / n;  CI = [ p̂ + z²/2n ± z·√( p̂(1−p̂)/n + z²/4n² ) ] / (1 + z²/n),  z = 1.96</w:t>
            </w:r>
          </w:p>
        </w:tc>
        <w:tc>
          <w:tcPr>
            <w:tcW w:type="dxa" w:w="2880"/>
          </w:tcPr>
          <w:p>
            <w:pPr>
              <w:spacing w:after="40"/>
            </w:pPr>
            <w:r>
              <w:rPr>
                <w:sz w:val="18"/>
              </w:rPr>
              <w:t>phase17/stats.py: wilson_interval</w:t>
            </w:r>
          </w:p>
        </w:tc>
      </w:tr>
      <w:tr>
        <w:tc>
          <w:tcPr>
            <w:tcW w:type="dxa" w:w="2880"/>
          </w:tcPr>
          <w:p>
            <w:pPr>
              <w:spacing w:after="40"/>
            </w:pPr>
            <w:r>
              <w:rPr>
                <w:sz w:val="18"/>
              </w:rPr>
              <w:t>Paired comparison: exact McNemar</w:t>
            </w:r>
          </w:p>
        </w:tc>
        <w:tc>
          <w:tcPr>
            <w:tcW w:type="dxa" w:w="2880"/>
          </w:tcPr>
          <w:p>
            <w:pPr>
              <w:spacing w:after="40"/>
            </w:pPr>
            <w:r>
              <w:rPr>
                <w:sz w:val="18"/>
              </w:rPr>
              <w:t>b = items only arm A flags, c = items only arm B flags;  p = min(1, 2·Σ_{i=0}^{min(b,c)} C(b+c, i)·2^−(b+c))</w:t>
            </w:r>
          </w:p>
        </w:tc>
        <w:tc>
          <w:tcPr>
            <w:tcW w:type="dxa" w:w="2880"/>
          </w:tcPr>
          <w:p>
            <w:pPr>
              <w:spacing w:after="40"/>
            </w:pPr>
            <w:r>
              <w:rPr>
                <w:sz w:val="18"/>
              </w:rPr>
              <w:t>phase17/stats.py: exact_mcnemar_p, paired_delta</w:t>
            </w:r>
          </w:p>
        </w:tc>
      </w:tr>
      <w:tr>
        <w:tc>
          <w:tcPr>
            <w:tcW w:type="dxa" w:w="2880"/>
          </w:tcPr>
          <w:p>
            <w:pPr>
              <w:spacing w:after="40"/>
            </w:pPr>
            <w:r>
              <w:rPr>
                <w:sz w:val="18"/>
              </w:rPr>
              <w:t>Multiplicity: Holm correction</w:t>
            </w:r>
          </w:p>
        </w:tc>
        <w:tc>
          <w:tcPr>
            <w:tcW w:type="dxa" w:w="2880"/>
          </w:tcPr>
          <w:p>
            <w:pPr>
              <w:spacing w:after="40"/>
            </w:pPr>
            <w:r>
              <w:rPr>
                <w:sz w:val="18"/>
              </w:rPr>
              <w:t>order the m p-values p(1) ≤ … ≤ p(m);  p̃(i) = max_{j ≤ i} min(1, (m − j + 1)·p(j));  holds if p̃ &lt; 0.05</w:t>
            </w:r>
          </w:p>
        </w:tc>
        <w:tc>
          <w:tcPr>
            <w:tcW w:type="dxa" w:w="2880"/>
          </w:tcPr>
          <w:p>
            <w:pPr>
              <w:spacing w:after="40"/>
            </w:pPr>
            <w:r>
              <w:rPr>
                <w:sz w:val="18"/>
              </w:rPr>
              <w:t>phase17/report_round7.py (one family: every prediction with a p &lt; 0.05 criterion)</w:t>
            </w:r>
          </w:p>
        </w:tc>
      </w:tr>
      <w:tr>
        <w:tc>
          <w:tcPr>
            <w:tcW w:type="dxa" w:w="2880"/>
          </w:tcPr>
          <w:p>
            <w:pPr>
              <w:spacing w:after="40"/>
            </w:pPr>
            <w:r>
              <w:rPr>
                <w:sz w:val="18"/>
              </w:rPr>
              <w:t>Unpaired comparison of two rates: Fisher exact</w:t>
            </w:r>
          </w:p>
        </w:tc>
        <w:tc>
          <w:tcPr>
            <w:tcW w:type="dxa" w:w="2880"/>
          </w:tcPr>
          <w:p>
            <w:pPr>
              <w:spacing w:after="40"/>
            </w:pPr>
            <w:r>
              <w:rPr>
                <w:sz w:val="18"/>
              </w:rPr>
              <w:t>2×2 table [[a, n₁−a], [c, n₂−c]];  two-sided p = Σ of hypergeometric probabilities ≤ that of the observed table</w:t>
            </w:r>
          </w:p>
        </w:tc>
        <w:tc>
          <w:tcPr>
            <w:tcW w:type="dxa" w:w="2880"/>
          </w:tcPr>
          <w:p>
            <w:pPr>
              <w:spacing w:after="40"/>
            </w:pPr>
            <w:r>
              <w:rPr>
                <w:sz w:val="18"/>
              </w:rPr>
              <w:t>adaptive evasion against the stateless reference 32/130 (scipy.stats.fisher_exact)</w:t>
            </w:r>
          </w:p>
        </w:tc>
      </w:tr>
      <w:tr>
        <w:tc>
          <w:tcPr>
            <w:tcW w:type="dxa" w:w="2880"/>
          </w:tcPr>
          <w:p>
            <w:pPr>
              <w:spacing w:after="40"/>
            </w:pPr>
            <w:r>
              <w:rPr>
                <w:sz w:val="18"/>
              </w:rPr>
              <w:t>Agreement: Cohen's κ</w:t>
            </w:r>
          </w:p>
        </w:tc>
        <w:tc>
          <w:tcPr>
            <w:tcW w:type="dxa" w:w="2880"/>
          </w:tcPr>
          <w:p>
            <w:pPr>
              <w:spacing w:after="40"/>
            </w:pPr>
            <w:r>
              <w:rPr>
                <w:sz w:val="18"/>
              </w:rPr>
              <w:t>κ = (p_o − p_e) / (1 − p_e);  p_e = p_A·p_B + (1 − p_A)(1 − p_B)</w:t>
            </w:r>
          </w:p>
        </w:tc>
        <w:tc>
          <w:tcPr>
            <w:tcW w:type="dxa" w:w="2880"/>
          </w:tcPr>
          <w:p>
            <w:pPr>
              <w:spacing w:after="40"/>
            </w:pPr>
            <w:r>
              <w:rPr>
                <w:sz w:val="18"/>
              </w:rPr>
              <w:t>phase17/human_labels.py, phase17/harm_judge_fix.py</w:t>
            </w:r>
          </w:p>
        </w:tc>
      </w:tr>
      <w:tr>
        <w:tc>
          <w:tcPr>
            <w:tcW w:type="dxa" w:w="2880"/>
          </w:tcPr>
          <w:p>
            <w:pPr>
              <w:spacing w:after="40"/>
            </w:pPr>
            <w:r>
              <w:rPr>
                <w:sz w:val="18"/>
              </w:rPr>
              <w:t>Power check before any paired design</w:t>
            </w:r>
          </w:p>
        </w:tc>
        <w:tc>
          <w:tcPr>
            <w:tcW w:type="dxa" w:w="2880"/>
          </w:tcPr>
          <w:p>
            <w:pPr>
              <w:spacing w:after="40"/>
            </w:pPr>
            <w:r>
              <w:rPr>
                <w:sz w:val="18"/>
              </w:rPr>
              <w:t>m* = smallest m with 2·2^−m ≤ α (m* = 6 at α = 0.05);  refuse unless n_at_risk·r ≥ 2·m*</w:t>
            </w:r>
          </w:p>
        </w:tc>
        <w:tc>
          <w:tcPr>
            <w:tcW w:type="dxa" w:w="2880"/>
          </w:tcPr>
          <w:p>
            <w:pPr>
              <w:spacing w:after="40"/>
            </w:pPr>
            <w:r>
              <w:rPr>
                <w:sz w:val="18"/>
              </w:rPr>
              <w:t>phase17/stats.py: require_power</w:t>
            </w:r>
          </w:p>
        </w:tc>
      </w:tr>
      <w:tr>
        <w:tc>
          <w:tcPr>
            <w:tcW w:type="dxa" w:w="2880"/>
          </w:tcPr>
          <w:p>
            <w:pPr>
              <w:spacing w:after="40"/>
            </w:pPr>
            <w:r>
              <w:rPr>
                <w:sz w:val="18"/>
              </w:rPr>
              <w:t>Noise floor for an n-item comparison</w:t>
            </w:r>
          </w:p>
        </w:tc>
        <w:tc>
          <w:tcPr>
            <w:tcW w:type="dxa" w:w="2880"/>
          </w:tcPr>
          <w:p>
            <w:pPr>
              <w:spacing w:after="40"/>
            </w:pPr>
            <w:r>
              <w:rPr>
                <w:sz w:val="18"/>
              </w:rPr>
              <w:t>f(n) = 5·√(120 / n) percentage points (5 points at n = 120; measured run-to-run SD 0.8–1.7)</w:t>
            </w:r>
          </w:p>
        </w:tc>
        <w:tc>
          <w:tcPr>
            <w:tcW w:type="dxa" w:w="2880"/>
          </w:tcPr>
          <w:p>
            <w:pPr>
              <w:spacing w:after="40"/>
            </w:pPr>
            <w:r>
              <w:rPr>
                <w:sz w:val="18"/>
              </w:rPr>
              <w:t>phase17/publishability.py: floor</w:t>
            </w:r>
          </w:p>
        </w:tc>
      </w:tr>
      <w:tr>
        <w:tc>
          <w:tcPr>
            <w:tcW w:type="dxa" w:w="2880"/>
          </w:tcPr>
          <w:p>
            <w:pPr>
              <w:spacing w:after="40"/>
            </w:pPr>
            <w:r>
              <w:rPr>
                <w:sz w:val="18"/>
              </w:rPr>
              <w:t>MEASUREMENT</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Working attack</w:t>
            </w:r>
          </w:p>
        </w:tc>
        <w:tc>
          <w:tcPr>
            <w:tcW w:type="dxa" w:w="2880"/>
          </w:tcPr>
          <w:p>
            <w:pPr>
              <w:spacing w:after="40"/>
            </w:pPr>
            <w:r>
              <w:rPr>
                <w:sz w:val="18"/>
              </w:rPr>
              <w:t>W = { i : agent complies with memory(i) ∧ ¬ complies without it ∧ mechanism(i) };  reportable iff (1/n)·Σ complies-without ≤ 0.20</w:t>
            </w:r>
          </w:p>
        </w:tc>
        <w:tc>
          <w:tcPr>
            <w:tcW w:type="dxa" w:w="2880"/>
          </w:tcPr>
          <w:p>
            <w:pPr>
              <w:spacing w:after="40"/>
            </w:pPr>
            <w:r>
              <w:rPr>
                <w:sz w:val="18"/>
              </w:rPr>
              <w:t>phase17/working_set.py (MAX_PROBE_BASE_RATE = 0.20)</w:t>
            </w:r>
          </w:p>
        </w:tc>
      </w:tr>
      <w:tr>
        <w:tc>
          <w:tcPr>
            <w:tcW w:type="dxa" w:w="2880"/>
          </w:tcPr>
          <w:p>
            <w:pPr>
              <w:spacing w:after="40"/>
            </w:pPr>
            <w:r>
              <w:rPr>
                <w:sz w:val="18"/>
              </w:rPr>
              <w:t>Recall on both denominators; false-positive rate</w:t>
            </w:r>
          </w:p>
        </w:tc>
        <w:tc>
          <w:tcPr>
            <w:tcW w:type="dxa" w:w="2880"/>
          </w:tcPr>
          <w:p>
            <w:pPr>
              <w:spacing w:after="40"/>
            </w:pPr>
            <w:r>
              <w:rPr>
                <w:sz w:val="18"/>
              </w:rPr>
              <w:t>recall = |flagged ∩ A| / |A|;  recall_W = |flagged ∩ W| / |W|;  FPR = |flagged ∩ B| / |B|  (A attacks, B benign)</w:t>
            </w:r>
          </w:p>
        </w:tc>
        <w:tc>
          <w:tcPr>
            <w:tcW w:type="dxa" w:w="2880"/>
          </w:tcPr>
          <w:p>
            <w:pPr>
              <w:spacing w:after="40"/>
            </w:pPr>
            <w:r>
              <w:rPr>
                <w:sz w:val="18"/>
              </w:rPr>
              <w:t>every evaluation module</w:t>
            </w:r>
          </w:p>
        </w:tc>
      </w:tr>
      <w:tr>
        <w:tc>
          <w:tcPr>
            <w:tcW w:type="dxa" w:w="2880"/>
          </w:tcPr>
          <w:p>
            <w:pPr>
              <w:spacing w:after="40"/>
            </w:pPr>
            <w:r>
              <w:rPr>
                <w:sz w:val="18"/>
              </w:rPr>
              <w:t>Near-duplicate test</w:t>
            </w:r>
          </w:p>
        </w:tc>
        <w:tc>
          <w:tcPr>
            <w:tcW w:type="dxa" w:w="2880"/>
          </w:tcPr>
          <w:p>
            <w:pPr>
              <w:spacing w:after="40"/>
            </w:pPr>
            <w:r>
              <w:rPr>
                <w:sz w:val="18"/>
              </w:rPr>
              <w:t>c(a, R) = max_{r ∈ R} |S₅(a) ∩ S₅(r)| / |S₅(a)|, S₅ = word 5-grams after stripping wrappers;  near-copy iff c ≥ 0.6</w:t>
            </w:r>
          </w:p>
        </w:tc>
        <w:tc>
          <w:tcPr>
            <w:tcW w:type="dxa" w:w="2880"/>
          </w:tcPr>
          <w:p>
            <w:pPr>
              <w:spacing w:after="40"/>
            </w:pPr>
            <w:r>
              <w:rPr>
                <w:sz w:val="18"/>
              </w:rPr>
              <w:t>phase17/near_dup.py</w:t>
            </w:r>
          </w:p>
        </w:tc>
      </w:tr>
      <w:tr>
        <w:tc>
          <w:tcPr>
            <w:tcW w:type="dxa" w:w="2880"/>
          </w:tcPr>
          <w:p>
            <w:pPr>
              <w:spacing w:after="40"/>
            </w:pPr>
            <w:r>
              <w:rPr>
                <w:sz w:val="18"/>
              </w:rPr>
              <w:t>Exposure and benign displacement (retrieval ranking)</w:t>
            </w:r>
          </w:p>
        </w:tc>
        <w:tc>
          <w:tcPr>
            <w:tcW w:type="dxa" w:w="2880"/>
          </w:tcPr>
          <w:p>
            <w:pPr>
              <w:spacing w:after="40"/>
            </w:pPr>
            <w:r>
              <w:rPr>
                <w:sz w:val="18"/>
              </w:rPr>
              <w:t>exposure = (1/N)·Σ 1[poison ∈ Top_k(arm)];  displacement = (1/kN)·Σ |Top_k(A0) ∖ Top_k(arm)|, on stores without the poison</w:t>
            </w:r>
          </w:p>
        </w:tc>
        <w:tc>
          <w:tcPr>
            <w:tcW w:type="dxa" w:w="2880"/>
          </w:tcPr>
          <w:p>
            <w:pPr>
              <w:spacing w:after="40"/>
            </w:pPr>
            <w:r>
              <w:rPr>
                <w:sz w:val="18"/>
              </w:rPr>
              <w:t>phase17/risk_weighted_retrieval_eval.py (k = 5, pool 20)</w:t>
            </w:r>
          </w:p>
        </w:tc>
      </w:tr>
      <w:tr>
        <w:tc>
          <w:tcPr>
            <w:tcW w:type="dxa" w:w="2880"/>
          </w:tcPr>
          <w:p>
            <w:pPr>
              <w:spacing w:after="40"/>
            </w:pPr>
            <w:r>
              <w:rPr>
                <w:sz w:val="18"/>
              </w:rPr>
              <w:t>Ranking a review queue</w:t>
            </w:r>
          </w:p>
        </w:tc>
        <w:tc>
          <w:tcPr>
            <w:tcW w:type="dxa" w:w="2880"/>
          </w:tcPr>
          <w:p>
            <w:pPr>
              <w:spacing w:after="40"/>
            </w:pPr>
            <w:r>
              <w:rPr>
                <w:sz w:val="18"/>
              </w:rPr>
              <w:t>precision@k = |P ∩ first k| / k;  AP = (1/|P|)·Σ_k precision@k·1[item_k ∈ P]</w:t>
            </w:r>
          </w:p>
        </w:tc>
        <w:tc>
          <w:tcPr>
            <w:tcW w:type="dxa" w:w="2880"/>
          </w:tcPr>
          <w:p>
            <w:pPr>
              <w:spacing w:after="40"/>
            </w:pPr>
            <w:r>
              <w:rPr>
                <w:sz w:val="18"/>
              </w:rPr>
              <w:t>phase17/risk_monitoring_eval.py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Risk estimate (GROUPED_GATED)</w:t>
            </w:r>
          </w:p>
        </w:tc>
        <w:tc>
          <w:tcPr>
            <w:tcW w:type="dxa" w:w="2880"/>
          </w:tcPr>
          <w:p>
            <w:pPr>
              <w:spacing w:after="40"/>
            </w:pPr>
            <w:r>
              <w:rPr>
                <w:sz w:val="18"/>
              </w:rPr>
              <w:t>R = Σ_g 0.25·s_g over the four guard groups (admission, retrieval, propagation, sleeper), R ∈ [0, 1];  band = HIGH if R ≥ 0.6, ELEVATED if R ≥ 0.35, MODERATE if R ≥ 0.05, else LOW</w:t>
            </w:r>
          </w:p>
        </w:tc>
        <w:tc>
          <w:tcPr>
            <w:tcW w:type="dxa" w:w="2880"/>
          </w:tcPr>
          <w:p>
            <w:pPr>
              <w:spacing w:after="40"/>
            </w:pPr>
            <w:r>
              <w:rPr>
                <w:sz w:val="18"/>
              </w:rPr>
              <w:t>phase6/defense/risk/risk_score.py</w:t>
            </w:r>
          </w:p>
        </w:tc>
      </w:tr>
      <w:tr>
        <w:tc>
          <w:tcPr>
            <w:tcW w:type="dxa" w:w="2880"/>
          </w:tcPr>
          <w:p>
            <w:pPr>
              <w:spacing w:after="40"/>
            </w:pPr>
            <w:r>
              <w:rPr>
                <w:sz w:val="18"/>
              </w:rPr>
              <w:t>Risk band to action</w:t>
            </w:r>
          </w:p>
        </w:tc>
        <w:tc>
          <w:tcPr>
            <w:tcW w:type="dxa" w:w="2880"/>
          </w:tcPr>
          <w:p>
            <w:pPr>
              <w:spacing w:after="40"/>
            </w:pPr>
            <w:r>
              <w:rPr>
                <w:sz w:val="18"/>
              </w:rPr>
              <w:t>LOW → ALLOW;  MODERATE, ELEVATED → REQUIRE_VALIDATION;  HIGH → QUARANTINE</w:t>
            </w:r>
          </w:p>
        </w:tc>
        <w:tc>
          <w:tcPr>
            <w:tcW w:type="dxa" w:w="2880"/>
          </w:tcPr>
          <w:p>
            <w:pPr>
              <w:spacing w:after="40"/>
            </w:pPr>
            <w:r>
              <w:rPr>
                <w:sz w:val="18"/>
              </w:rPr>
              <w:t>phase6/defense/risk/risk_action.py</w:t>
            </w:r>
          </w:p>
        </w:tc>
      </w:tr>
      <w:tr>
        <w:tc>
          <w:tcPr>
            <w:tcW w:type="dxa" w:w="2880"/>
          </w:tcPr>
          <w:p>
            <w:pPr>
              <w:spacing w:after="40"/>
            </w:pPr>
            <w:r>
              <w:rPr>
                <w:sz w:val="18"/>
              </w:rPr>
              <w:t>Consensus guard (fixed gate)</w:t>
            </w:r>
          </w:p>
        </w:tc>
        <w:tc>
          <w:tcPr>
            <w:tcW w:type="dxa" w:w="2880"/>
          </w:tcPr>
          <w:p>
            <w:pPr>
              <w:spacing w:after="40"/>
            </w:pPr>
            <w:r>
              <w:rPr>
                <w:sz w:val="18"/>
              </w:rPr>
              <w:t>d = consensus divergence of the candidate within the retrieved pool;  π = min(0.5, 0.5·d) if d ≥ 0.3 else 0;  score′ = score·(1 − π)</w:t>
            </w:r>
          </w:p>
        </w:tc>
        <w:tc>
          <w:tcPr>
            <w:tcW w:type="dxa" w:w="2880"/>
          </w:tcPr>
          <w:p>
            <w:pPr>
              <w:spacing w:after="40"/>
            </w:pPr>
            <w:r>
              <w:rPr>
                <w:sz w:val="18"/>
              </w:rPr>
              <w:t>phase6/defense/retrieval/consensus_guard.py (lexical by default; semantic in B2s–B8s)</w:t>
            </w:r>
          </w:p>
        </w:tc>
      </w:tr>
      <w:tr>
        <w:tc>
          <w:tcPr>
            <w:tcW w:type="dxa" w:w="2880"/>
          </w:tcPr>
          <w:p>
            <w:pPr>
              <w:spacing w:after="40"/>
            </w:pPr>
            <w:r>
              <w:rPr>
                <w:sz w:val="18"/>
              </w:rPr>
              <w:t>Risk-weighted ranking penalty</w:t>
            </w:r>
          </w:p>
        </w:tc>
        <w:tc>
          <w:tcPr>
            <w:tcW w:type="dxa" w:w="2880"/>
          </w:tcPr>
          <w:p>
            <w:pPr>
              <w:spacing w:after="40"/>
            </w:pPr>
            <w:r>
              <w:rPr>
                <w:sz w:val="18"/>
              </w:rPr>
              <w:t>R′ = (1/n)·Σ_{j=1}^{n} s_j over the n signals present (divergence plus any corroborating ones);  π = min(0.5, 0.5·R′), no threshold</w:t>
            </w:r>
          </w:p>
        </w:tc>
        <w:tc>
          <w:tcPr>
            <w:tcW w:type="dxa" w:w="2880"/>
          </w:tcPr>
          <w:p>
            <w:pPr>
              <w:spacing w:after="40"/>
            </w:pPr>
            <w:r>
              <w:rPr>
                <w:sz w:val="18"/>
              </w:rPr>
              <w:t>phase6/defense/risk/risk_weighted_retrieval.py</w:t>
            </w:r>
          </w:p>
        </w:tc>
      </w:tr>
      <w:tr>
        <w:tc>
          <w:tcPr>
            <w:tcW w:type="dxa" w:w="2880"/>
          </w:tcPr>
          <w:p>
            <w:pPr>
              <w:spacing w:after="40"/>
            </w:pPr>
            <w:r>
              <w:rPr>
                <w:sz w:val="18"/>
              </w:rPr>
              <w:t>Corroboration (B13)</w:t>
            </w:r>
          </w:p>
        </w:tc>
        <w:tc>
          <w:tcPr>
            <w:tcW w:type="dxa" w:w="2880"/>
          </w:tcPr>
          <w:p>
            <w:pPr>
              <w:spacing w:after="40"/>
            </w:pPr>
            <w:r>
              <w:rPr>
                <w:sz w:val="18"/>
              </w:rPr>
              <w:t>s = NLI support of a personal claim against the owner's conversation;  exclude if s &lt; 0.0019, or s &lt; 0.0057 and the claim is a preference</w:t>
            </w:r>
          </w:p>
        </w:tc>
        <w:tc>
          <w:tcPr>
            <w:tcW w:type="dxa" w:w="2880"/>
          </w:tcPr>
          <w:p>
            <w:pPr>
              <w:spacing w:after="40"/>
            </w:pPr>
            <w:r>
              <w:rPr>
                <w:sz w:val="18"/>
              </w:rPr>
              <w:t>phase17/b13_live.py (SUPPORT_EXCLUDE, SUPPORT_FLAG)</w:t>
            </w:r>
          </w:p>
        </w:tc>
      </w:tr>
      <w:tr>
        <w:tc>
          <w:tcPr>
            <w:tcW w:type="dxa" w:w="2880"/>
          </w:tcPr>
          <w:p>
            <w:pPr>
              <w:spacing w:after="40"/>
            </w:pPr>
            <w:r>
              <w:rPr>
                <w:sz w:val="18"/>
              </w:rPr>
              <w:t>Rejection ledger</w:t>
            </w:r>
          </w:p>
        </w:tc>
        <w:tc>
          <w:tcPr>
            <w:tcW w:type="dxa" w:w="2880"/>
          </w:tcPr>
          <w:p>
            <w:pPr>
              <w:spacing w:after="40"/>
            </w:pPr>
            <w:r>
              <w:rPr>
                <w:sz w:val="18"/>
              </w:rPr>
              <w:t>refuse x if max_j cos(e(x), e(r_j)) ≥ ρ over the scope's previously rejected entries r_j;  ρ = 0.95 recommended (blast radius 6.4%), 0.97 frozen</w:t>
            </w:r>
          </w:p>
        </w:tc>
        <w:tc>
          <w:tcPr>
            <w:tcW w:type="dxa" w:w="2880"/>
          </w:tcPr>
          <w:p>
            <w:pPr>
              <w:spacing w:after="40"/>
            </w:pPr>
            <w:r>
              <w:rPr>
                <w:sz w:val="18"/>
              </w:rPr>
              <w:t>phase17/rejection_memory.py, phase17/b16_live.py</w:t>
            </w:r>
          </w:p>
        </w:tc>
      </w:tr>
      <w:tr>
        <w:tc>
          <w:tcPr>
            <w:tcW w:type="dxa" w:w="2880"/>
          </w:tcPr>
          <w:p>
            <w:pPr>
              <w:spacing w:after="40"/>
            </w:pPr>
            <w:r>
              <w:rPr>
                <w:sz w:val="18"/>
              </w:rPr>
              <w:t>Unions</w:t>
            </w:r>
          </w:p>
        </w:tc>
        <w:tc>
          <w:tcPr>
            <w:tcW w:type="dxa" w:w="2880"/>
          </w:tcPr>
          <w:p>
            <w:pPr>
              <w:spacing w:after="40"/>
            </w:pPr>
            <w:r>
              <w:rPr>
                <w:sz w:val="18"/>
              </w:rPr>
              <w:t>B17(x) = B13(x) ∨ B14(x);  B18(x) = B17(x) ∨ [deberta(x) ≥ τ_oracle]</w:t>
            </w:r>
          </w:p>
        </w:tc>
        <w:tc>
          <w:tcPr>
            <w:tcW w:type="dxa" w:w="2880"/>
          </w:tcPr>
          <w:p>
            <w:pPr>
              <w:spacing w:after="40"/>
            </w:pPr>
            <w:r>
              <w:rPr>
                <w:sz w:val="18"/>
              </w:rPr>
              <w:t>phase17/b17_live.py, phase17/b18_live.py</w:t>
            </w:r>
          </w:p>
        </w:tc>
      </w:tr>
      <w:tr>
        <w:tc>
          <w:tcPr>
            <w:tcW w:type="dxa" w:w="2880"/>
          </w:tcPr>
          <w:p>
            <w:pPr>
              <w:spacing w:after="40"/>
            </w:pPr>
            <w:r>
              <w:rPr>
                <w:sz w:val="18"/>
              </w:rPr>
              <w:t>Epistemic quarantine</w:t>
            </w:r>
          </w:p>
        </w:tc>
        <w:tc>
          <w:tcPr>
            <w:tcW w:type="dxa" w:w="2880"/>
          </w:tcPr>
          <w:p>
            <w:pPr>
              <w:spacing w:after="40"/>
            </w:pPr>
            <w:r>
              <w:rPr>
                <w:sz w:val="18"/>
              </w:rPr>
              <w:t>exclude if any non-corroboration B13 rule fires;  if corroboration alone fires, admit the note inside the UNVERIFIED frame;  otherwise admit</w:t>
            </w:r>
          </w:p>
        </w:tc>
        <w:tc>
          <w:tcPr>
            <w:tcW w:type="dxa" w:w="2880"/>
          </w:tcPr>
          <w:p>
            <w:pPr>
              <w:spacing w:after="40"/>
            </w:pPr>
            <w:r>
              <w:rPr>
                <w:sz w:val="18"/>
              </w:rPr>
              <w:t>phase17/epistemic_quarantine.py</w:t>
            </w:r>
          </w:p>
        </w:tc>
      </w:tr>
    </w:tbl>
    <w:p>
      <w:pPr>
        <w:spacing w:after="200"/>
      </w:pPr>
      <w:r>
        <w:rPr>
          <w:i/>
          <w:sz w:val="18"/>
        </w:rPr>
        <w:t>Table F. Formulas behind the reported numbers (phase17/formulas.py).</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publishability.json</w:t>
            </w:r>
          </w:p>
        </w:tc>
        <w:tc>
          <w:tcPr>
            <w:tcW w:type="dxa" w:w="2880"/>
          </w:tcPr>
          <w:p>
            <w:pPr>
              <w:spacing w:after="40"/>
            </w:pPr>
            <w:r>
              <w:rPr>
                <w:sz w:val="18"/>
              </w:rPr>
              <w:t>The computed publishability verdict</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r>
        <w:tc>
          <w:tcPr>
            <w:tcW w:type="dxa" w:w="2880"/>
          </w:tcPr>
          <w:p>
            <w:pPr>
              <w:spacing w:after="40"/>
            </w:pPr>
            <w:r>
              <w:rPr>
                <w:sz w:val="18"/>
              </w:rPr>
              <w:t>risk_monitoring_eval.json</w:t>
            </w:r>
          </w:p>
        </w:tc>
        <w:tc>
          <w:tcPr>
            <w:tcW w:type="dxa" w:w="2880"/>
          </w:tcPr>
          <w:p>
            <w:pPr>
              <w:spacing w:after="40"/>
            </w:pPr>
            <w:r>
              <w:rPr>
                <w:sz w:val="18"/>
              </w:rPr>
              <w:t>Phase 10 monitoring, first design (random pools; reported as an artifact)</w:t>
            </w:r>
          </w:p>
        </w:tc>
        <w:tc>
          <w:tcPr>
            <w:tcW w:type="dxa" w:w="2880"/>
          </w:tcPr>
          <w:p>
            <w:pPr>
              <w:spacing w:after="40"/>
            </w:pPr>
            <w:r>
              <w:rPr>
                <w:sz w:val="18"/>
              </w:rPr>
              <w:t>yes</w:t>
            </w:r>
          </w:p>
        </w:tc>
      </w:tr>
      <w:tr>
        <w:tc>
          <w:tcPr>
            <w:tcW w:type="dxa" w:w="2880"/>
          </w:tcPr>
          <w:p>
            <w:pPr>
              <w:spacing w:after="40"/>
            </w:pPr>
            <w:r>
              <w:rPr>
                <w:sz w:val="18"/>
              </w:rPr>
              <w:t>risk_monitoring_eval_realistic.json</w:t>
            </w:r>
          </w:p>
        </w:tc>
        <w:tc>
          <w:tcPr>
            <w:tcW w:type="dxa" w:w="2880"/>
          </w:tcPr>
          <w:p>
            <w:pPr>
              <w:spacing w:after="40"/>
            </w:pPr>
            <w:r>
              <w:rPr>
                <w:sz w:val="18"/>
              </w:rPr>
              <w:t>Phase 10 monitoring, realistic retrieval pools</w:t>
            </w:r>
          </w:p>
        </w:tc>
        <w:tc>
          <w:tcPr>
            <w:tcW w:type="dxa" w:w="2880"/>
          </w:tcPr>
          <w:p>
            <w:pPr>
              <w:spacing w:after="40"/>
            </w:pPr>
            <w:r>
              <w:rPr>
                <w:sz w:val="18"/>
              </w:rPr>
              <w:t>yes</w:t>
            </w:r>
          </w:p>
        </w:tc>
      </w:tr>
      <w:tr>
        <w:tc>
          <w:tcPr>
            <w:tcW w:type="dxa" w:w="2880"/>
          </w:tcPr>
          <w:p>
            <w:pPr>
              <w:spacing w:after="40"/>
            </w:pPr>
            <w:r>
              <w:rPr>
                <w:sz w:val="18"/>
              </w:rPr>
              <w:t>phase6_semantic_variants.json</w:t>
            </w:r>
          </w:p>
        </w:tc>
        <w:tc>
          <w:tcPr>
            <w:tcW w:type="dxa" w:w="2880"/>
          </w:tcPr>
          <w:p>
            <w:pPr>
              <w:spacing w:after="40"/>
            </w:pPr>
            <w:r>
              <w:rPr>
                <w:sz w:val="18"/>
              </w:rPr>
              <w:t>Phase 6 ablation with the semantic retrieval variants beside the originals</w:t>
            </w:r>
          </w:p>
        </w:tc>
        <w:tc>
          <w:tcPr>
            <w:tcW w:type="dxa" w:w="2880"/>
          </w:tcPr>
          <w:p>
            <w:pPr>
              <w:spacing w:after="40"/>
            </w:pPr>
            <w:r>
              <w:rPr>
                <w:sz w:val="18"/>
              </w:rPr>
              <w:t>yes</w:t>
            </w:r>
          </w:p>
        </w:tc>
      </w:tr>
      <w:tr>
        <w:tc>
          <w:tcPr>
            <w:tcW w:type="dxa" w:w="2880"/>
          </w:tcPr>
          <w:p>
            <w:pPr>
              <w:spacing w:after="40"/>
            </w:pPr>
            <w:r>
              <w:rPr>
                <w:sz w:val="18"/>
              </w:rPr>
              <w:t>rwr_semantic_exploratory.json</w:t>
            </w:r>
          </w:p>
        </w:tc>
        <w:tc>
          <w:tcPr>
            <w:tcW w:type="dxa" w:w="2880"/>
          </w:tcPr>
          <w:p>
            <w:pPr>
              <w:spacing w:after="40"/>
            </w:pPr>
            <w:r>
              <w:rPr>
                <w:sz w:val="18"/>
              </w:rPr>
              <w:t>EXPLORATORY: semantic divergence on the original stores</w:t>
            </w:r>
          </w:p>
        </w:tc>
        <w:tc>
          <w:tcPr>
            <w:tcW w:type="dxa" w:w="2880"/>
          </w:tcPr>
          <w:p>
            <w:pPr>
              <w:spacing w:after="40"/>
            </w:pPr>
            <w:r>
              <w:rPr>
                <w:sz w:val="18"/>
              </w:rPr>
              <w:t>yes</w:t>
            </w:r>
          </w:p>
        </w:tc>
      </w:tr>
      <w:tr>
        <w:tc>
          <w:tcPr>
            <w:tcW w:type="dxa" w:w="2880"/>
          </w:tcPr>
          <w:p>
            <w:pPr>
              <w:spacing w:after="40"/>
            </w:pPr>
            <w:r>
              <w:rPr>
                <w:sz w:val="18"/>
              </w:rPr>
              <w:t>rwr_fresh_replication.json</w:t>
            </w:r>
          </w:p>
        </w:tc>
        <w:tc>
          <w:tcPr>
            <w:tcW w:type="dxa" w:w="2880"/>
          </w:tcPr>
          <w:p>
            <w:pPr>
              <w:spacing w:after="40"/>
            </w:pPr>
            <w:r>
              <w:rPr>
                <w:sz w:val="18"/>
              </w:rPr>
              <w:t>Fresh-store replication (addendum 6)</w:t>
            </w:r>
          </w:p>
        </w:tc>
        <w:tc>
          <w:tcPr>
            <w:tcW w:type="dxa" w:w="2880"/>
          </w:tcPr>
          <w:p>
            <w:pPr>
              <w:spacing w:after="40"/>
            </w:pPr>
            <w:r>
              <w:rPr>
                <w:sz w:val="18"/>
              </w:rPr>
              <w:t>yes</w:t>
            </w:r>
          </w:p>
        </w:tc>
      </w:tr>
      <w:tr>
        <w:tc>
          <w:tcPr>
            <w:tcW w:type="dxa" w:w="2880"/>
          </w:tcPr>
          <w:p>
            <w:pPr>
              <w:spacing w:after="40"/>
            </w:pPr>
            <w:r>
              <w:rPr>
                <w:sz w:val="18"/>
              </w:rPr>
              <w:t>rwr_campaign.json</w:t>
            </w:r>
          </w:p>
        </w:tc>
        <w:tc>
          <w:tcPr>
            <w:tcW w:type="dxa" w:w="2880"/>
          </w:tcPr>
          <w:p>
            <w:pPr>
              <w:spacing w:after="40"/>
            </w:pPr>
            <w:r>
              <w:rPr>
                <w:sz w:val="18"/>
              </w:rPr>
              <w:t>Consensus guard against coordinated campaigns (addendum 6)</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