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p>
      <w:pPr>
        <w:spacing w:after="120"/>
      </w:pPr>
      <w:r>
        <w:t>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66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29/35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31/31 proven</w:t>
            </w:r>
          </w:p>
        </w:tc>
      </w:tr>
    </w:tbl>
    <w:p>
      <w:pPr>
        <w:spacing w:after="200"/>
      </w:pPr>
      <w:r>
        <w:rPr>
          <w:i/>
          <w:sz w:val="18"/>
        </w:rPr>
        <w:t>Table 20. Verdict: PENDING. Source: phase17/data/publishability.json.</w:t>
      </w:r>
    </w:p>
    <w:p>
      <w:pPr>
        <w:spacing w:after="120"/>
      </w:pPr>
      <w:r>
        <w:t>VERDICT: PENDING.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