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Actually Work</w:t>
      </w:r>
    </w:p>
    <w:p>
      <w:pPr>
        <w:jc w:val="center"/>
      </w:pPr>
      <w:r>
        <w:rPr>
          <w:i/>
          <w:sz w:val="22"/>
        </w:rPr>
        <w:t>A Results Analysis of MAMBench Phase 17, External Review Rounds 3-7</w:t>
      </w:r>
    </w:p>
    <w:p>
      <w:pPr>
        <w:jc w:val="center"/>
      </w:pPr>
      <w:r>
        <w:rPr>
          <w:sz w:val="18"/>
        </w:rPr>
        <w:t>2026-10-06 (round 7; corrections made in place)</w:t>
      </w:r>
    </w:p>
    <w:p>
      <w:pPr>
        <w:pStyle w:val="Heading1"/>
      </w:pPr>
      <w:r>
        <w:t>Abstract</w:t>
      </w:r>
    </w:p>
    <w:p>
      <w:pPr>
        <w:spacing w:after="120"/>
      </w:pPr>
      <w:r>
        <w:t>We report the results of four independent review rounds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provably cannot -- additive fabrication 0/72 versus 37/72, pre-registered, p=1e-11 -- while costing less per memory than the content-only stack it supersedes, and reduces unconditional harm from 28.2% to 10.4% at a task-alone base rate of 1/309 (as scored by an LLM judge whose agreement with a human annotator proved weak and one-sided towards missing harm, so these levels are likely under-estimates; Section 13A; re-judged on identical answers by the judge selected against held-back human labels, undefended harm is 58.3% rather than 32.0%, and B13's reduction holds under both judges, Section 13B).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route to one positive result in full, including the failures on the way. A stateful defense built for adaptive evasion -- a per-scope ledger of previously rejected content -- showed no significant effect at its frozen development radius; a pre-registered re-run at a looser radius was then underpowered by design, with a single control event capping its p-value at 1.0; and a re-run with seeds pre-filtered to the metric's own denominator -- a design revision after a failure, and labelled as one -- reduced evasion from 24.6% to 0.8% (paired +0/-31, p=9.3e-10). That radius carries a 29.7% ledger-poisoning blast radius; a later sweep found radius 0.95 keeps the effect (5/130 evasions) at 6.4%, a surface that a deployment must accept deliberately. We conclude that for this threat model the pooled comparison against published prompt-injection detectors should not be cited in either direction: disaggregated, bespoke provenance signals lead by nearly 39 points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discovered that its 'development set' was the hold-out itself under a different wrapper, and built two new corpora scored once each under predictions committed in advance (31/37 held). On the first memory-poisoning hold-out -- a new author family writing about a new owner -- provenance-aware admission reaches 50.3% against 20.4% for the fused content classifier and near zero for every published detector. On a new matched-benign injection corpus the union configurations run at 10.2%-11.0% false positives rather than the 55% previously reported, which turns out to have been a property of one corpus. Neutralising untrusted memory as data halves compliance at no exclusion cost (37.4% to 18.3%), but the pre-registered claim that it composes with a cheap detector to dominate the strongest exclusion-only configuration failed: it is a trade along the false-positive axis.</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five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Three Frozen Hold-Outs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distribution in kind -- unprompted attacks on deployed assistants, averaging 1,013 characters, against two corpora of short password-game prompts -- and it is the only one supplying a matched benign half. The first two corpora provide attacks only, so every false-positive number in this project otherwise comes from the same four benign populations; benign text drawn from the same platforms as the attacks removes the possibility that a detector scores well merely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is reserved for out-of-loop validation. Temperature is 0 with fixed seeds throughout, but runs are NOT bit-reproducible: an identical prompt set scored 66, 64 and 61 of 120 across three runs, because Ollama's concurrent batching is not deterministic. Roughly 5 points on n=120 was taken as the noise floor, and no difference smaller than that is claimed anywhere in this document. Round 7 then measured it directly with three independent runs of two headline quantities: the run-to-run standard deviation is 0.8-1.7 points (compliance 61/62/63 and 36/40/39 of 120; undefended harm 87/89/94 of 309), so the 5-point floor is conservative.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Actually Work?</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and that is itself a result.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Membership is the union over probes, since an attacker chooses the context; both probes stay published and their spread is the honest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 figures are NOT comparable to this project's previously published 42.3% to 12.5%, because the population changed: validated worm and exfiltration instances replaced the originals (Section 5). The reduction is what to read, not the levels. Two entries deserve comment. The worm regeneration paid off completely -- 83.3% undefended harm at 60% natural retrieval, reduced to 3.3% -- where the old worm population measured near-zero harm because its instances did not propagate. And the content-only stack made policy_revocation worse than undefended (33.3% versus 26.7%, n=15); that is within noise at this sample size, but it is in the table rather than smoothed out.</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Read at face value this table is unflattering, and the unflattering parts are real in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w:t>
      </w:r>
    </w:p>
    <w:p>
      <w:pPr>
        <w:spacing w:after="120"/>
      </w:pPr>
      <w:r>
        <w:t>The sleeper result has an identifiable cause rather than being a brute failure. That attack is designed to be a mundane, harmless-looking statement about a person's routine with no instruction in it, and its mechanism check requires exactly that; it is 100% mechanism-correct and 63% working, so the instances are valid and they function. A content-only detector that flagged such a note would also flag the benign personal notes that constitute most of a real memory store, so a 0% content-only rate here is the attack succeeding at what it was built for rather than a defect in the detector. It is also precisely the class that provenance and corroboration exist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size of what is switched off, measured on the three populations whose real conversation exists. Evidence is 419 turns of the actual owner conversation (speakers Caroline, Melanie), not anything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real conversation supplied. Source: phase17/data/evidence_round6.json; B17/B18 columns from family_union_evidence.json (an earlier version of this table printed dashes for them because their no-evidence arm was never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B18 with the owner's conversation -- the round-6 memory-poisoning recommendation, SUPERSEDED in round 7 by B13 with evidence (Section 10B: on hold-out 4 B18 matched B13's recall and added false positives) -- shown beside B13, on the full family and on its working-attack subset. Ordinary-benign false-positive cost on the same footing: 81/1054 (7.7%), all of it on untrusted channels. Source: phase17/data/family_union_evidence.json.</w:t>
      </w:r>
    </w:p>
    <w:p>
      <w:pPr>
        <w:spacing w:after="120"/>
      </w:pPr>
      <w:r>
        <w:t>Read honestly, this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Round 6 read that as the deberta hard rule earning its place on injection-shaped text instead; round 7's hold-out 6 contradicts that too (16.3% false positives from that rule alone, Section 13A), so the rule is not recommended anywhere.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w:t>
            </w:r>
          </w:p>
        </w:tc>
        <w:tc>
          <w:tcPr>
            <w:tcW w:type="dxa" w:w="1728"/>
          </w:tcPr>
          <w:p>
            <w:pPr>
              <w:spacing w:after="40"/>
            </w:pPr>
            <w:r>
              <w:rPr>
                <w:sz w:val="18"/>
              </w:rPr>
              <w:t>64.4%</w:t>
            </w:r>
          </w:p>
        </w:tc>
        <w:tc>
          <w:tcPr>
            <w:tcW w:type="dxa" w:w="1728"/>
          </w:tcPr>
          <w:p>
            <w:pPr>
              <w:spacing w:after="40"/>
            </w:pPr>
            <w:r>
              <w:rPr>
                <w:sz w:val="18"/>
              </w:rPr>
              <w:t>-</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w:t>
            </w:r>
          </w:p>
        </w:tc>
        <w:tc>
          <w:tcPr>
            <w:tcW w:type="dxa" w:w="1728"/>
          </w:tcPr>
          <w:p>
            <w:pPr>
              <w:spacing w:after="40"/>
            </w:pPr>
            <w:r>
              <w:rPr>
                <w:sz w:val="18"/>
              </w:rPr>
              <w:t>64.6%</w:t>
            </w:r>
          </w:p>
        </w:tc>
        <w:tc>
          <w:tcPr>
            <w:tcW w:type="dxa" w:w="1728"/>
          </w:tcPr>
          <w:p>
            <w:pPr>
              <w:spacing w:after="40"/>
            </w:pPr>
            <w:r>
              <w:rPr>
                <w:sz w:val="18"/>
              </w:rPr>
              <w:t>-</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real signal against an invented-persona attack and equally a real risk to a benign note about someone the conversation never mentions; a recall gain reported without this column would be meaningless.</w:t>
      </w:r>
    </w:p>
    <w:p>
      <w:pPr>
        <w:spacing w:after="120"/>
      </w:pPr>
      <w:r>
        <w:t>What this does not fix: the external injection corpora have no owner conversation, and their attacks are not claims about a person, so there is nothing to corroborate. Evidence is inapplicable there by construction, which means the provenance configuration's weak showing on those corpora is genuine rather than an artifact -- and it is the reason the union configurations of Section 7.1 exist.</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after="40"/>
            </w:pPr>
            <w:r>
              <w:rPr>
                <w:b/>
                <w:sz w:val="18"/>
              </w:rPr>
              <w:t>Group</w:t>
            </w:r>
          </w:p>
        </w:tc>
        <w:tc>
          <w:tcPr>
            <w:tcW w:type="dxa" w:w="864"/>
          </w:tcPr>
          <w:p>
            <w:pPr>
              <w:spacing w:after="40"/>
            </w:pPr>
            <w:r>
              <w:rPr>
                <w:b/>
                <w:sz w:val="18"/>
              </w:rPr>
              <w:t>B12</w:t>
            </w:r>
          </w:p>
        </w:tc>
        <w:tc>
          <w:tcPr>
            <w:tcW w:type="dxa" w:w="864"/>
          </w:tcPr>
          <w:p>
            <w:pPr>
              <w:spacing w:after="40"/>
            </w:pPr>
            <w:r>
              <w:rPr>
                <w:b/>
                <w:sz w:val="18"/>
              </w:rPr>
              <w:t>B13</w:t>
            </w:r>
          </w:p>
        </w:tc>
        <w:tc>
          <w:tcPr>
            <w:tcW w:type="dxa" w:w="864"/>
          </w:tcPr>
          <w:p>
            <w:pPr>
              <w:spacing w:after="40"/>
            </w:pPr>
            <w:r>
              <w:rPr>
                <w:b/>
                <w:sz w:val="18"/>
              </w:rPr>
              <w:t>B14</w:t>
            </w:r>
          </w:p>
        </w:tc>
        <w:tc>
          <w:tcPr>
            <w:tcW w:type="dxa" w:w="864"/>
          </w:tcPr>
          <w:p>
            <w:pPr>
              <w:spacing w:after="40"/>
            </w:pPr>
            <w:r>
              <w:rPr>
                <w:b/>
                <w:sz w:val="18"/>
              </w:rPr>
              <w:t>B15</w:t>
            </w:r>
          </w:p>
        </w:tc>
        <w:tc>
          <w:tcPr>
            <w:tcW w:type="dxa" w:w="864"/>
          </w:tcPr>
          <w:p>
            <w:pPr>
              <w:spacing w:after="40"/>
            </w:pPr>
            <w:r>
              <w:rPr>
                <w:b/>
                <w:sz w:val="18"/>
              </w:rPr>
              <w:t>B17</w:t>
            </w:r>
          </w:p>
        </w:tc>
        <w:tc>
          <w:tcPr>
            <w:tcW w:type="dxa" w:w="864"/>
          </w:tcPr>
          <w:p>
            <w:pPr>
              <w:spacing w:after="40"/>
            </w:pPr>
            <w:r>
              <w:rPr>
                <w:b/>
                <w:sz w:val="18"/>
              </w:rPr>
              <w:t>deberta</w:t>
            </w:r>
          </w:p>
        </w:tc>
        <w:tc>
          <w:tcPr>
            <w:tcW w:type="dxa" w:w="864"/>
          </w:tcPr>
          <w:p>
            <w:pPr>
              <w:spacing w:after="40"/>
            </w:pPr>
            <w:r>
              <w:rPr>
                <w:b/>
                <w:sz w:val="18"/>
              </w:rPr>
              <w:t>Llama Guard 3</w:t>
            </w:r>
          </w:p>
        </w:tc>
        <w:tc>
          <w:tcPr>
            <w:tcW w:type="dxa" w:w="864"/>
          </w:tcPr>
          <w:p>
            <w:pPr>
              <w:spacing w:after="40"/>
            </w:pPr>
            <w:r>
              <w:rPr>
                <w:b/>
                <w:sz w:val="18"/>
              </w:rPr>
              <w:t>LLM prompt (llama3.1)</w:t>
            </w:r>
          </w:p>
        </w:tc>
        <w:tc>
          <w:tcPr>
            <w:tcW w:type="dxa" w:w="864"/>
          </w:tcPr>
          <w:p>
            <w:pPr>
              <w:spacing w:after="40"/>
            </w:pPr>
            <w:r>
              <w:rPr>
                <w:b/>
                <w:sz w:val="18"/>
              </w:rPr>
              <w:t>GPT-2 perplexity</w:t>
            </w:r>
          </w:p>
        </w:tc>
      </w:tr>
      <w:tr>
        <w:tc>
          <w:tcPr>
            <w:tcW w:type="dxa" w:w="864"/>
          </w:tcPr>
          <w:p>
            <w:pPr>
              <w:spacing w:after="40"/>
            </w:pPr>
            <w:r>
              <w:rPr>
                <w:sz w:val="18"/>
              </w:rPr>
              <w:t>Own memory-poisoning attacks (804)</w:t>
            </w:r>
          </w:p>
        </w:tc>
        <w:tc>
          <w:tcPr>
            <w:tcW w:type="dxa" w:w="864"/>
          </w:tcPr>
          <w:p>
            <w:pPr>
              <w:spacing w:after="40"/>
            </w:pPr>
            <w:r>
              <w:rPr>
                <w:sz w:val="18"/>
              </w:rPr>
              <w:t>43.2%</w:t>
            </w:r>
          </w:p>
        </w:tc>
        <w:tc>
          <w:tcPr>
            <w:tcW w:type="dxa" w:w="864"/>
          </w:tcPr>
          <w:p>
            <w:pPr>
              <w:spacing w:after="40"/>
            </w:pPr>
            <w:r>
              <w:rPr>
                <w:sz w:val="18"/>
              </w:rPr>
              <w:t>46.1%</w:t>
            </w:r>
          </w:p>
        </w:tc>
        <w:tc>
          <w:tcPr>
            <w:tcW w:type="dxa" w:w="864"/>
          </w:tcPr>
          <w:p>
            <w:pPr>
              <w:spacing w:after="40"/>
            </w:pPr>
            <w:r>
              <w:rPr>
                <w:sz w:val="18"/>
              </w:rPr>
              <w:t>41.2%</w:t>
            </w:r>
          </w:p>
        </w:tc>
        <w:tc>
          <w:tcPr>
            <w:tcW w:type="dxa" w:w="864"/>
          </w:tcPr>
          <w:p>
            <w:pPr>
              <w:spacing w:after="40"/>
            </w:pPr>
            <w:r>
              <w:rPr>
                <w:sz w:val="18"/>
              </w:rPr>
              <w:t>37.7%</w:t>
            </w:r>
          </w:p>
        </w:tc>
        <w:tc>
          <w:tcPr>
            <w:tcW w:type="dxa" w:w="864"/>
          </w:tcPr>
          <w:p>
            <w:pPr>
              <w:spacing w:after="40"/>
            </w:pPr>
            <w:r>
              <w:rPr>
                <w:sz w:val="18"/>
              </w:rPr>
              <w:t>51.2%</w:t>
            </w:r>
          </w:p>
        </w:tc>
        <w:tc>
          <w:tcPr>
            <w:tcW w:type="dxa" w:w="864"/>
          </w:tcPr>
          <w:p>
            <w:pPr>
              <w:spacing w:after="40"/>
            </w:pPr>
            <w:r>
              <w:rPr>
                <w:sz w:val="18"/>
              </w:rPr>
              <w:t>14.1%</w:t>
            </w:r>
          </w:p>
        </w:tc>
        <w:tc>
          <w:tcPr>
            <w:tcW w:type="dxa" w:w="864"/>
          </w:tcPr>
          <w:p>
            <w:pPr>
              <w:spacing w:after="40"/>
            </w:pPr>
            <w:r>
              <w:rPr>
                <w:sz w:val="18"/>
              </w:rPr>
              <w:t>12.9%</w:t>
            </w:r>
          </w:p>
        </w:tc>
        <w:tc>
          <w:tcPr>
            <w:tcW w:type="dxa" w:w="864"/>
          </w:tcPr>
          <w:p>
            <w:pPr>
              <w:spacing w:after="40"/>
            </w:pPr>
            <w:r>
              <w:rPr>
                <w:sz w:val="18"/>
              </w:rPr>
              <w:t>11.7%</w:t>
            </w:r>
          </w:p>
        </w:tc>
        <w:tc>
          <w:tcPr>
            <w:tcW w:type="dxa" w:w="864"/>
          </w:tcPr>
          <w:p>
            <w:pPr>
              <w:spacing w:after="40"/>
            </w:pPr>
            <w:r>
              <w:rPr>
                <w:sz w:val="18"/>
              </w:rPr>
              <w:t>6.7%</w:t>
            </w:r>
          </w:p>
        </w:tc>
      </w:tr>
      <w:tr>
        <w:tc>
          <w:tcPr>
            <w:tcW w:type="dxa" w:w="864"/>
          </w:tcPr>
          <w:p>
            <w:pPr>
              <w:spacing w:after="40"/>
            </w:pPr>
            <w:r>
              <w:rPr>
                <w:sz w:val="18"/>
              </w:rPr>
              <w:t>External injection corpora (2,724)</w:t>
            </w:r>
          </w:p>
        </w:tc>
        <w:tc>
          <w:tcPr>
            <w:tcW w:type="dxa" w:w="864"/>
          </w:tcPr>
          <w:p>
            <w:pPr>
              <w:spacing w:after="40"/>
            </w:pPr>
            <w:r>
              <w:rPr>
                <w:sz w:val="18"/>
              </w:rPr>
              <w:t>40.5%</w:t>
            </w:r>
          </w:p>
        </w:tc>
        <w:tc>
          <w:tcPr>
            <w:tcW w:type="dxa" w:w="864"/>
          </w:tcPr>
          <w:p>
            <w:pPr>
              <w:spacing w:after="40"/>
            </w:pPr>
            <w:r>
              <w:rPr>
                <w:sz w:val="18"/>
              </w:rPr>
              <w:t>44.4%</w:t>
            </w:r>
          </w:p>
        </w:tc>
        <w:tc>
          <w:tcPr>
            <w:tcW w:type="dxa" w:w="864"/>
          </w:tcPr>
          <w:p>
            <w:pPr>
              <w:spacing w:after="40"/>
            </w:pPr>
            <w:r>
              <w:rPr>
                <w:sz w:val="18"/>
              </w:rPr>
              <w:t>71.0%</w:t>
            </w:r>
          </w:p>
        </w:tc>
        <w:tc>
          <w:tcPr>
            <w:tcW w:type="dxa" w:w="864"/>
          </w:tcPr>
          <w:p>
            <w:pPr>
              <w:spacing w:after="40"/>
            </w:pPr>
            <w:r>
              <w:rPr>
                <w:sz w:val="18"/>
              </w:rPr>
              <w:t>63.4%</w:t>
            </w:r>
          </w:p>
        </w:tc>
        <w:tc>
          <w:tcPr>
            <w:tcW w:type="dxa" w:w="864"/>
          </w:tcPr>
          <w:p>
            <w:pPr>
              <w:spacing w:after="40"/>
            </w:pPr>
            <w:r>
              <w:rPr>
                <w:sz w:val="18"/>
              </w:rPr>
              <w:t>71.3%</w:t>
            </w:r>
          </w:p>
        </w:tc>
        <w:tc>
          <w:tcPr>
            <w:tcW w:type="dxa" w:w="864"/>
          </w:tcPr>
          <w:p>
            <w:pPr>
              <w:spacing w:after="40"/>
            </w:pPr>
            <w:r>
              <w:rPr>
                <w:sz w:val="18"/>
              </w:rPr>
              <w:t>70.4%</w:t>
            </w:r>
          </w:p>
        </w:tc>
        <w:tc>
          <w:tcPr>
            <w:tcW w:type="dxa" w:w="864"/>
          </w:tcPr>
          <w:p>
            <w:pPr>
              <w:spacing w:after="40"/>
            </w:pPr>
            <w:r>
              <w:rPr>
                <w:sz w:val="18"/>
              </w:rPr>
              <w:t>28.2%</w:t>
            </w:r>
          </w:p>
        </w:tc>
        <w:tc>
          <w:tcPr>
            <w:tcW w:type="dxa" w:w="864"/>
          </w:tcPr>
          <w:p>
            <w:pPr>
              <w:spacing w:after="40"/>
            </w:pPr>
            <w:r>
              <w:rPr>
                <w:sz w:val="18"/>
              </w:rPr>
              <w:t>24.4%</w:t>
            </w:r>
          </w:p>
        </w:tc>
        <w:tc>
          <w:tcPr>
            <w:tcW w:type="dxa" w:w="864"/>
          </w:tcPr>
          <w:p>
            <w:pPr>
              <w:spacing w:after="40"/>
            </w:pPr>
            <w:r>
              <w:rPr>
                <w:sz w:val="18"/>
              </w:rPr>
              <w:t>29.6%</w:t>
            </w:r>
          </w:p>
        </w:tc>
      </w:tr>
      <w:tr>
        <w:tc>
          <w:tcPr>
            <w:tcW w:type="dxa" w:w="864"/>
          </w:tcPr>
          <w:p>
            <w:pPr>
              <w:spacing w:after="40"/>
            </w:pPr>
            <w:r>
              <w:rPr>
                <w:sz w:val="18"/>
              </w:rPr>
              <w:t>Ordinary-benign false positives (1,088)</w:t>
            </w:r>
          </w:p>
        </w:tc>
        <w:tc>
          <w:tcPr>
            <w:tcW w:type="dxa" w:w="864"/>
          </w:tcPr>
          <w:p>
            <w:pPr>
              <w:spacing w:after="40"/>
            </w:pPr>
            <w:r>
              <w:rPr>
                <w:sz w:val="18"/>
              </w:rPr>
              <w:t>1/1088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8/1088</w:t>
            </w:r>
          </w:p>
        </w:tc>
        <w:tc>
          <w:tcPr>
            <w:tcW w:type="dxa" w:w="864"/>
          </w:tcPr>
          <w:p>
            <w:pPr>
              <w:spacing w:after="40"/>
            </w:pPr>
            <w:r>
              <w:rPr>
                <w:sz w:val="18"/>
              </w:rPr>
              <w:t>23/1088</w:t>
            </w:r>
          </w:p>
        </w:tc>
        <w:tc>
          <w:tcPr>
            <w:tcW w:type="dxa" w:w="864"/>
          </w:tcPr>
          <w:p>
            <w:pPr>
              <w:spacing w:after="40"/>
            </w:pPr>
            <w:r>
              <w:rPr>
                <w:sz w:val="18"/>
              </w:rPr>
              <w:t>6/1088</w:t>
            </w:r>
          </w:p>
        </w:tc>
        <w:tc>
          <w:tcPr>
            <w:tcW w:type="dxa" w:w="864"/>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 B12 was missing from an earlier version of this table; B18 postdates the artifact and is compared in Sections 8 and 13.</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real weakness that an earlier version of this project's summary did not report, and the earlier unqualified recommendation of a single configuration was wrong. The two reach different things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spacing w:after="120"/>
      </w:pPr>
      <w:r>
        <w:t>Two diagnoses of that false-positive rate were tested, and both were partly or wholly WRONG. (i) A labelling artifact -- the corpus's 'regular' label means 'not a jailbreak', not 'fit to store as a memory'. An out-of-loop judge finds 82.7% of the benign half is benign-as-a-memory, and restricting to it moves B18 only from 54.9% to 49.0%: the artifact explains about 6 of 55 points. (ii) Corroboration as the source -- an earlier reading of this project's. Per-rule attribution on 200 items shows the content-only detector excluding 86, provenance adding 24 and corroboration 2: the CONTENT detector is the source, not corroboration. HOLD-OUT-INFORMED: those 200 items were drawn as 'development' data later shown to be hold-out 3 prompts under another wrapper (Section 10C), so this attribution was measured on the hold-out's own distribution.</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and it was right about where but not about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merely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what was already hard-mitigated, refusing semantic neighbours of it, on the reasoning that the constraint the attacker must satisfy to keep winning -- the rewrite still carries the claim -- is exactly what keeps it near what it paraphrases. Two properties keep the comparison honest structurally rather than by assertion: with no ledger threaded the configuration reproduces its base configuration by construction, verified identical on 60 real records, so only statefulness differs; and only hard mitigations enter the ledger, never advisory flags, because a blocking radius grown from uncertainty is a false-positive cascade.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 [Round 7 correction (R7-15): this negative was underpowered as well. On the 130 powered seeds the same 0.97 radius cuts adaptive evasion from 32/130 to 8/130 (p=1e-07) at a 0.7% ledger-poisoning blast radius;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Process errors, stated where they could mislead a reader. One table testing whether the content detector drives false positives was first published without B12 -- the content-only configuration it was testing; every configuration table in this document now carries a B12 row, and a guard test fails the build if one does not. The others (a trigger-activated attack probed outside its trigger five times, a ledger fit that measured the wrong distribution, a cleanup script that killed its own caller, a guard that matched its own docstring, corroboration left inert in a round of tables, a computed arm never reported, a thread-unsafe cache, GPU contention) each have a guard proven by mutation testing (phase17/data/error_registry.json).</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and no configuration has more than one clean estimate.</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 Corroboration is brittle to an attacker told why it was rejected: 22 of 48 seeds evaded within five rewrites, against 32/130 for stateless detection (Fisher p=0.0096), by light paraphrase -- so against a retry-capable attacker it needs (4).</w:t>
      </w:r>
    </w:p>
    <w:p>
      <w:pPr>
        <w:spacing w:after="120"/>
      </w:pPr>
      <w:r>
        <w:t>(2) INJECTION-SHAPED text arriving in memory: B17 -- 90.1% recall at 10.2% on hold-out 5 and 77.6% at 2.2% on hold-out 6, both matched-benign. The 33-55% figures of hold-out 3 were a property of that corpus. NOT B18: its deberta hard rule cost 16.3% false positives on hold-out 6 and excluded 4.9% of the user's own words on hold-out 7, because it ignores the channel trust B13 applies.</w:t>
      </w:r>
    </w:p>
    <w:p>
      <w:pPr>
        <w:spacing w:after="120"/>
      </w:pPr>
      <w:r>
        <w:t>(3) NEUTRALISATION as a zero-exclusion layer under any of the above: admit untrusted memory verbatim, framed as data, with the constraint repeated after it. It halved compliance on hold-out 5 (37.4% -&gt; 18.3%), and its effect was larger on a stronger agent: Gemini 44.2% -&gt; 11.7% against qwen at 50.8% -&gt; 30.0% on all 120 dev items (32.5 against 20.8 points).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the previously published 0.90. Where that surface must be near zero, 0.97 still cuts evasion to 8/130 (p=1e-07) at 0.7%.</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carries a 29.7% ledger-poisoning blast radius, and does nothing against a single-shot attacker, one who distributes attempts across isolated scopes, or one who waits out the ledger time-to-live. (ii) Exfiltration is a tested mechanism whose harm is zero for every agent family tried; that is a finding about 7-8B assistants and says nothing about stronger agents. (iii) Hold-out 4 covers note-shaped poisoning only: its safety-tuned author inverted both instruction-shaped families, which were withdrawn. Hold-out 5 has 131 attacks, so its rates carry about +/-8 points. Neutralisation's benefit roughly doubled on a stronger agent, but that comparison rests on 60 items. (iv) The first three hold-outs are prompt-injection or jailbreak corpora; a good score on them is evidence about detecting overt injected instructions that arrive in memory and says nothing about additive fabrication or preference hijack, for which this project's own mechanism populations remain the only test -- hold-out 4 (round 7) is the first memory-poisoning hold-out. (v) No licence has been attached to the benchmark, which is a deliberate deferral by the owner.</w:t>
      </w:r>
    </w:p>
    <w:p>
      <w:pPr>
        <w:pStyle w:val="Heading1"/>
      </w:pPr>
      <w:r>
        <w:t>12. Conclusion</w:t>
      </w:r>
    </w:p>
    <w:p>
      <w:pPr>
        <w:spacing w:after="120"/>
      </w:pPr>
      <w:r>
        <w:t>The central result of these four rounds is a measurement result. Only 42.5% of this benchmark's attack instances both subvert an undefended agent and implement the mechanism they are labelled with, and that single number reframes every detection rate the project has published.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Two Clean Hold-Outs, a Composition, and What Did Not Generalise</w:t>
      </w:r>
    </w:p>
    <w:p>
      <w:pPr>
        <w:spacing w:after="120"/>
      </w:pPr>
      <w:r>
        <w:t>Round 7 retired hold-out 3 (scored seven times, one pre-registered, and its development set shown to be the hold-out itself: Section 10C) and built two new corpora, each frozen before any configuration was scored and each scored exactly ONCE under predictions committed beforehand (docs/phase17/PREREGISTRATION_ROUND7.md, plus one addendum committed before scoring that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p>
      <w:pPr>
        <w:pStyle w:val="Heading2"/>
      </w:pPr>
      <w:r>
        <w:t>13A. Follow-Up: What Was Fixed, What Failed, and What Was Measured for the First Time</w:t>
      </w:r>
    </w:p>
    <w:p>
      <w:pPr>
        <w:spacing w:after="120"/>
      </w:pPr>
      <w:r>
        <w:t>Two attempts to reduce corroboration's false-positive cost failed on development data, and both failures are informative. Abstaining when a claim is unrelated to the owner's conversation cut recall from 59.7% to 52.2% without lowering the benign rate: fabrications are, by construction, about things the conversation never mentions, so 'not mentioned' is the signal itself. Excluding claims the conversation contradicts added a few caught attacks for more benign false positives with a small NLI model.</w:t>
      </w:r>
    </w:p>
    <w:p>
      <w:pPr>
        <w:spacing w:after="120"/>
      </w:pPr>
      <w:r>
        <w:t>The noise floor was measured rather than argued: three independent runs gave raw compliance [61, 62, 63] of 120, framed compliance [36, 40, 39], and undefended harm [87, 89, 94] of 309 -- standard deviations of 0.8-1.7 points, so the 5-point floor this document applies is conservative.</w:t>
      </w:r>
    </w:p>
    <w:p>
      <w:pPr>
        <w:spacing w:after="120"/>
      </w:pPr>
      <w:r>
        <w:t>The LLM judges were checked against a person for the first time: one annotator labelled 100 blind items. The compliance judge agreed 75% of the time (kappa 0.5); the harm judge only 60% (kappa 0.2), and every one of its 16 disagreements was a missed harm. Reading them, about half are plain misses and half a generous annotator, so harm LEVELS in this document are likely under-estimates; harm REDUCTIONS are more robust because both arms share a judge; detection and false-positive results use no judge at all.</w:t>
      </w:r>
    </w:p>
    <w:p>
      <w:pPr>
        <w:spacing w:after="120"/>
      </w:pPr>
      <w:r>
        <w:t>A replacement harm judge was chosen by a rule fixed in advance -- selected on half the human labels, tested on the other half: J2_gemini_original reached a held-back kappa of 0.773 against the current judge's 0.239. Harm is re-measured with it beside, never instead of, the original judge.</w:t>
      </w:r>
    </w:p>
    <w:p>
      <w:pPr>
        <w:spacing w:after="120"/>
      </w:pPr>
      <w:r>
        <w:t>Instruction-shaped memory poisoning remains only partly testable on clean data. A safety-tuned author inverted those families into protective rules (hold-out 4); a base-model author (hold-out 7) wrote valid standing instructions (23/40) but almost no valid dormant triggers (3/40), so conditional backdoors are reported as untested on a clean hold-out rather than as measured.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HO6 recall (500)</w:t>
            </w:r>
          </w:p>
        </w:tc>
        <w:tc>
          <w:tcPr>
            <w:tcW w:type="dxa" w:w="1728"/>
          </w:tcPr>
          <w:p>
            <w:pPr>
              <w:spacing w:after="40"/>
            </w:pPr>
            <w:r>
              <w:rPr>
                <w:b/>
                <w:sz w:val="18"/>
              </w:rPr>
              <w:t>HO6 matched-benign FPR (1,000)</w:t>
            </w:r>
          </w:p>
        </w:tc>
        <w:tc>
          <w:tcPr>
            <w:tcW w:type="dxa" w:w="1728"/>
          </w:tcPr>
          <w:p>
            <w:pPr>
              <w:spacing w:after="40"/>
            </w:pPr>
            <w:r>
              <w:rPr>
                <w:b/>
                <w:sz w:val="18"/>
              </w:rPr>
              <w:t>HO7 recall (129)</w:t>
            </w:r>
          </w:p>
        </w:tc>
        <w:tc>
          <w:tcPr>
            <w:tcW w:type="dxa" w:w="1728"/>
          </w:tcPr>
          <w:p>
            <w:pPr>
              <w:spacing w:after="40"/>
            </w:pPr>
            <w:r>
              <w:rPr>
                <w:b/>
                <w:sz w:val="18"/>
              </w:rPr>
              <w:t>HO7 benign FPR untrusted / user_turn (189)</w:t>
            </w:r>
          </w:p>
        </w:tc>
      </w:tr>
      <w:tr>
        <w:tc>
          <w:tcPr>
            <w:tcW w:type="dxa" w:w="1728"/>
          </w:tcPr>
          <w:p>
            <w:pPr>
              <w:spacing w:after="40"/>
            </w:pPr>
            <w:r>
              <w:rPr>
                <w:sz w:val="18"/>
              </w:rPr>
              <w:t>B12</w:t>
            </w:r>
          </w:p>
        </w:tc>
        <w:tc>
          <w:tcPr>
            <w:tcW w:type="dxa" w:w="1728"/>
          </w:tcPr>
          <w:p>
            <w:pPr>
              <w:spacing w:after="40"/>
            </w:pPr>
            <w:r>
              <w:rPr>
                <w:sz w:val="18"/>
              </w:rPr>
              <w:t>33.8%</w:t>
            </w:r>
          </w:p>
        </w:tc>
        <w:tc>
          <w:tcPr>
            <w:tcW w:type="dxa" w:w="1728"/>
          </w:tcPr>
          <w:p>
            <w:pPr>
              <w:spacing w:after="40"/>
            </w:pPr>
            <w:r>
              <w:rPr>
                <w:sz w:val="18"/>
              </w:rPr>
              <w:t>0.1%</w:t>
            </w:r>
          </w:p>
        </w:tc>
        <w:tc>
          <w:tcPr>
            <w:tcW w:type="dxa" w:w="1728"/>
          </w:tcPr>
          <w:p>
            <w:pPr>
              <w:spacing w:after="40"/>
            </w:pPr>
            <w:r>
              <w:rPr>
                <w:sz w:val="18"/>
              </w:rPr>
              <w:t>37.2%</w:t>
            </w:r>
          </w:p>
        </w:tc>
        <w:tc>
          <w:tcPr>
            <w:tcW w:type="dxa" w:w="1728"/>
          </w:tcPr>
          <w:p>
            <w:pPr>
              <w:spacing w:after="40"/>
            </w:pPr>
            <w:r>
              <w:rPr>
                <w:sz w:val="18"/>
              </w:rPr>
              <w:t>4.2% / 4.2%</w:t>
            </w:r>
          </w:p>
        </w:tc>
      </w:tr>
      <w:tr>
        <w:tc>
          <w:tcPr>
            <w:tcW w:type="dxa" w:w="1728"/>
          </w:tcPr>
          <w:p>
            <w:pPr>
              <w:spacing w:after="40"/>
            </w:pPr>
            <w:r>
              <w:rPr>
                <w:sz w:val="18"/>
              </w:rPr>
              <w:t>B13</w:t>
            </w:r>
          </w:p>
        </w:tc>
        <w:tc>
          <w:tcPr>
            <w:tcW w:type="dxa" w:w="1728"/>
          </w:tcPr>
          <w:p>
            <w:pPr>
              <w:spacing w:after="40"/>
            </w:pPr>
            <w:r>
              <w:rPr>
                <w:sz w:val="18"/>
              </w:rPr>
              <w:t>37.2%</w:t>
            </w:r>
          </w:p>
        </w:tc>
        <w:tc>
          <w:tcPr>
            <w:tcW w:type="dxa" w:w="1728"/>
          </w:tcPr>
          <w:p>
            <w:pPr>
              <w:spacing w:after="40"/>
            </w:pPr>
            <w:r>
              <w:rPr>
                <w:sz w:val="18"/>
              </w:rPr>
              <w:t>0.1%</w:t>
            </w:r>
          </w:p>
        </w:tc>
        <w:tc>
          <w:tcPr>
            <w:tcW w:type="dxa" w:w="1728"/>
          </w:tcPr>
          <w:p>
            <w:pPr>
              <w:spacing w:after="40"/>
            </w:pPr>
            <w:r>
              <w:rPr>
                <w:sz w:val="18"/>
              </w:rPr>
              <w:t>54.3%</w:t>
            </w:r>
          </w:p>
        </w:tc>
        <w:tc>
          <w:tcPr>
            <w:tcW w:type="dxa" w:w="1728"/>
          </w:tcPr>
          <w:p>
            <w:pPr>
              <w:spacing w:after="40"/>
            </w:pPr>
            <w:r>
              <w:rPr>
                <w:sz w:val="18"/>
              </w:rPr>
              <w:t>15.3% / 0.0%</w:t>
            </w:r>
          </w:p>
        </w:tc>
      </w:tr>
      <w:tr>
        <w:tc>
          <w:tcPr>
            <w:tcW w:type="dxa" w:w="1728"/>
          </w:tcPr>
          <w:p>
            <w:pPr>
              <w:spacing w:after="40"/>
            </w:pPr>
            <w:r>
              <w:rPr>
                <w:sz w:val="18"/>
              </w:rPr>
              <w:t>B14</w:t>
            </w:r>
          </w:p>
        </w:tc>
        <w:tc>
          <w:tcPr>
            <w:tcW w:type="dxa" w:w="1728"/>
          </w:tcPr>
          <w:p>
            <w:pPr>
              <w:spacing w:after="40"/>
            </w:pPr>
            <w:r>
              <w:rPr>
                <w:sz w:val="18"/>
              </w:rPr>
              <w:t>77.4%</w:t>
            </w:r>
          </w:p>
        </w:tc>
        <w:tc>
          <w:tcPr>
            <w:tcW w:type="dxa" w:w="1728"/>
          </w:tcPr>
          <w:p>
            <w:pPr>
              <w:spacing w:after="40"/>
            </w:pPr>
            <w:r>
              <w:rPr>
                <w:sz w:val="18"/>
              </w:rPr>
              <w:t>2.1%</w:t>
            </w:r>
          </w:p>
        </w:tc>
        <w:tc>
          <w:tcPr>
            <w:tcW w:type="dxa" w:w="1728"/>
          </w:tcPr>
          <w:p>
            <w:pPr>
              <w:spacing w:after="40"/>
            </w:pPr>
            <w:r>
              <w:rPr>
                <w:sz w:val="18"/>
              </w:rPr>
              <w:t>29.5%</w:t>
            </w:r>
          </w:p>
        </w:tc>
        <w:tc>
          <w:tcPr>
            <w:tcW w:type="dxa" w:w="1728"/>
          </w:tcPr>
          <w:p>
            <w:pPr>
              <w:spacing w:after="40"/>
            </w:pPr>
            <w:r>
              <w:rPr>
                <w:sz w:val="18"/>
              </w:rPr>
              <w:t>13.8% / 0.0%</w:t>
            </w:r>
          </w:p>
        </w:tc>
      </w:tr>
      <w:tr>
        <w:tc>
          <w:tcPr>
            <w:tcW w:type="dxa" w:w="1728"/>
          </w:tcPr>
          <w:p>
            <w:pPr>
              <w:spacing w:after="40"/>
            </w:pPr>
            <w:r>
              <w:rPr>
                <w:sz w:val="18"/>
              </w:rPr>
              <w:t>B15</w:t>
            </w:r>
          </w:p>
        </w:tc>
        <w:tc>
          <w:tcPr>
            <w:tcW w:type="dxa" w:w="1728"/>
          </w:tcPr>
          <w:p>
            <w:pPr>
              <w:spacing w:after="40"/>
            </w:pPr>
            <w:r>
              <w:rPr>
                <w:sz w:val="18"/>
              </w:rPr>
              <w:t>67.4%</w:t>
            </w:r>
          </w:p>
        </w:tc>
        <w:tc>
          <w:tcPr>
            <w:tcW w:type="dxa" w:w="1728"/>
          </w:tcPr>
          <w:p>
            <w:pPr>
              <w:spacing w:after="40"/>
            </w:pPr>
            <w:r>
              <w:rPr>
                <w:sz w:val="18"/>
              </w:rPr>
              <w:t>0.2%</w:t>
            </w:r>
          </w:p>
        </w:tc>
        <w:tc>
          <w:tcPr>
            <w:tcW w:type="dxa" w:w="1728"/>
          </w:tcPr>
          <w:p>
            <w:pPr>
              <w:spacing w:after="40"/>
            </w:pPr>
            <w:r>
              <w:rPr>
                <w:sz w:val="18"/>
              </w:rPr>
              <w:t>38.8%</w:t>
            </w:r>
          </w:p>
        </w:tc>
        <w:tc>
          <w:tcPr>
            <w:tcW w:type="dxa" w:w="1728"/>
          </w:tcPr>
          <w:p>
            <w:pPr>
              <w:spacing w:after="40"/>
            </w:pPr>
            <w:r>
              <w:rPr>
                <w:sz w:val="18"/>
              </w:rPr>
              <w:t>19.0% / 0.0%</w:t>
            </w:r>
          </w:p>
        </w:tc>
      </w:tr>
      <w:tr>
        <w:tc>
          <w:tcPr>
            <w:tcW w:type="dxa" w:w="1728"/>
          </w:tcPr>
          <w:p>
            <w:pPr>
              <w:spacing w:after="40"/>
            </w:pPr>
            <w:r>
              <w:rPr>
                <w:sz w:val="18"/>
              </w:rPr>
              <w:t>B17</w:t>
            </w:r>
          </w:p>
        </w:tc>
        <w:tc>
          <w:tcPr>
            <w:tcW w:type="dxa" w:w="1728"/>
          </w:tcPr>
          <w:p>
            <w:pPr>
              <w:spacing w:after="40"/>
            </w:pPr>
            <w:r>
              <w:rPr>
                <w:sz w:val="18"/>
              </w:rPr>
              <w:t>77.6%</w:t>
            </w:r>
          </w:p>
        </w:tc>
        <w:tc>
          <w:tcPr>
            <w:tcW w:type="dxa" w:w="1728"/>
          </w:tcPr>
          <w:p>
            <w:pPr>
              <w:spacing w:after="40"/>
            </w:pPr>
            <w:r>
              <w:rPr>
                <w:sz w:val="18"/>
              </w:rPr>
              <w:t>2.2%</w:t>
            </w:r>
          </w:p>
        </w:tc>
        <w:tc>
          <w:tcPr>
            <w:tcW w:type="dxa" w:w="1728"/>
          </w:tcPr>
          <w:p>
            <w:pPr>
              <w:spacing w:after="40"/>
            </w:pPr>
            <w:r>
              <w:rPr>
                <w:sz w:val="18"/>
              </w:rPr>
              <w:t>56.6%</w:t>
            </w:r>
          </w:p>
        </w:tc>
        <w:tc>
          <w:tcPr>
            <w:tcW w:type="dxa" w:w="1728"/>
          </w:tcPr>
          <w:p>
            <w:pPr>
              <w:spacing w:after="40"/>
            </w:pPr>
            <w:r>
              <w:rPr>
                <w:sz w:val="18"/>
              </w:rPr>
              <w:t>22.8% / 0.0%</w:t>
            </w:r>
          </w:p>
        </w:tc>
      </w:tr>
      <w:tr>
        <w:tc>
          <w:tcPr>
            <w:tcW w:type="dxa" w:w="1728"/>
          </w:tcPr>
          <w:p>
            <w:pPr>
              <w:spacing w:after="40"/>
            </w:pPr>
            <w:r>
              <w:rPr>
                <w:sz w:val="18"/>
              </w:rPr>
              <w:t>B18</w:t>
            </w:r>
          </w:p>
        </w:tc>
        <w:tc>
          <w:tcPr>
            <w:tcW w:type="dxa" w:w="1728"/>
          </w:tcPr>
          <w:p>
            <w:pPr>
              <w:spacing w:after="40"/>
            </w:pPr>
            <w:r>
              <w:rPr>
                <w:sz w:val="18"/>
              </w:rPr>
              <w:t>98.6%</w:t>
            </w:r>
          </w:p>
        </w:tc>
        <w:tc>
          <w:tcPr>
            <w:tcW w:type="dxa" w:w="1728"/>
          </w:tcPr>
          <w:p>
            <w:pPr>
              <w:spacing w:after="40"/>
            </w:pPr>
            <w:r>
              <w:rPr>
                <w:sz w:val="18"/>
              </w:rPr>
              <w:t>16.3%</w:t>
            </w:r>
          </w:p>
        </w:tc>
        <w:tc>
          <w:tcPr>
            <w:tcW w:type="dxa" w:w="1728"/>
          </w:tcPr>
          <w:p>
            <w:pPr>
              <w:spacing w:after="40"/>
            </w:pPr>
            <w:r>
              <w:rPr>
                <w:sz w:val="18"/>
              </w:rPr>
              <w:t>57.4%</w:t>
            </w:r>
          </w:p>
        </w:tc>
        <w:tc>
          <w:tcPr>
            <w:tcW w:type="dxa" w:w="1728"/>
          </w:tcPr>
          <w:p>
            <w:pPr>
              <w:spacing w:after="40"/>
            </w:pPr>
            <w:r>
              <w:rPr>
                <w:sz w:val="18"/>
              </w:rPr>
              <w:t>22.8% / 3.7%</w:t>
            </w:r>
          </w:p>
        </w:tc>
      </w:tr>
    </w:tbl>
    <w:p>
      <w:pPr>
        <w:spacing w:after="200"/>
      </w:pPr>
      <w:r>
        <w:rPr>
          <w:i/>
          <w:sz w:val="18"/>
        </w:rPr>
        <w:t>Table 17. Hold-out 6 (SPML: LLM-authored chatbot injections, matched benign) and hold-out 7 (memory poisoning written by a base model, owner LoCoMo 8), each scored once under pre-registration addendum 3. Hold-out 7 is shown on its full corpus; its owner-matched subset is the pre-registered primary and its working subset is not reportable (the probe's task-alone base rate, 28%, exceeds the 20% rule fixed before it was built). Source: phase17/data/eval_round7b_holdouts.json.</w:t>
      </w:r>
    </w:p>
    <w:p>
      <w:pPr>
        <w:spacing w:after="120"/>
      </w:pPr>
      <w:r>
        <w:t>Hold-out 6 replicates the main corpus finding: the union configuration runs at 2.2% matched-benign false positives. And the composition test that failed on hold-out 5 for lack of power holds here with 500 attacks: excluding with B12 and framing the rest cut harm from 246 to 227 of 500 (p=0.023). On top of B18 the frame adds nothing, so neutralisation helps a weak detector and not a strong one. Two results count against B18: its deberta rule excluded 16.3% of hold-out 6's ordinary prompts, and 3.7% of hold-out 7's benign notes even when they arrive as the user's own words, because it ignores channel trust. The contradiction rule added nothing on hold-out 7, and framing raised compliance on instruction-shaped attacks there while cutting it on note-shaped ones -- the reverse of the prediction, and recorded as a failed prediction.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w:t>
            </w:r>
          </w:p>
        </w:tc>
        <w:tc>
          <w:tcPr>
            <w:tcW w:type="dxa" w:w="2880"/>
          </w:tcPr>
          <w:p>
            <w:pPr>
              <w:spacing w:after="40"/>
            </w:pPr>
            <w:r>
              <w:rPr>
                <w:b/>
                <w:sz w:val="18"/>
              </w:rPr>
              <w:t>Outcome</w:t>
            </w:r>
          </w:p>
        </w:tc>
        <w:tc>
          <w:tcPr>
            <w:tcW w:type="dxa" w:w="2880"/>
          </w:tcPr>
          <w:p>
            <w:pPr>
              <w:spacing w:after="40"/>
            </w:pPr>
            <w:r>
              <w:rPr>
                <w:b/>
                <w:sz w:val="18"/>
              </w:rPr>
              <w:t>Measured</w:t>
            </w:r>
          </w:p>
        </w:tc>
      </w:tr>
      <w:tr>
        <w:tc>
          <w:tcPr>
            <w:tcW w:type="dxa" w:w="2880"/>
          </w:tcPr>
          <w:p>
            <w:pPr>
              <w:spacing w:after="40"/>
            </w:pPr>
            <w:r>
              <w:rPr>
                <w:sz w:val="18"/>
              </w:rPr>
              <w:t>H5-1: B17 matched-benign FPR in 2-12%</w:t>
            </w:r>
          </w:p>
        </w:tc>
        <w:tc>
          <w:tcPr>
            <w:tcW w:type="dxa" w:w="2880"/>
          </w:tcPr>
          <w:p>
            <w:pPr>
              <w:spacing w:after="40"/>
            </w:pPr>
            <w:r>
              <w:rPr>
                <w:sz w:val="18"/>
              </w:rPr>
              <w:t>HELD</w:t>
            </w:r>
          </w:p>
        </w:tc>
        <w:tc>
          <w:tcPr>
            <w:tcW w:type="dxa" w:w="2880"/>
          </w:tcPr>
          <w:p>
            <w:pPr>
              <w:spacing w:after="40"/>
            </w:pPr>
            <w:r>
              <w:rPr>
                <w:sz w:val="18"/>
              </w:rPr>
              <w:t>10.2%</w:t>
            </w:r>
          </w:p>
        </w:tc>
      </w:tr>
      <w:tr>
        <w:tc>
          <w:tcPr>
            <w:tcW w:type="dxa" w:w="2880"/>
          </w:tcPr>
          <w:p>
            <w:pPr>
              <w:spacing w:after="40"/>
            </w:pPr>
            <w:r>
              <w:rPr>
                <w:sz w:val="18"/>
              </w:rPr>
              <w:t>H5-2: B13 matched-benign FPR in 0.5-6%</w:t>
            </w:r>
          </w:p>
        </w:tc>
        <w:tc>
          <w:tcPr>
            <w:tcW w:type="dxa" w:w="2880"/>
          </w:tcPr>
          <w:p>
            <w:pPr>
              <w:spacing w:after="40"/>
            </w:pPr>
            <w:r>
              <w:rPr>
                <w:sz w:val="18"/>
              </w:rPr>
              <w:t>HELD</w:t>
            </w:r>
          </w:p>
        </w:tc>
        <w:tc>
          <w:tcPr>
            <w:tcW w:type="dxa" w:w="2880"/>
          </w:tcPr>
          <w:p>
            <w:pPr>
              <w:spacing w:after="40"/>
            </w:pPr>
            <w:r>
              <w:rPr>
                <w:sz w:val="18"/>
              </w:rPr>
              <w:t>5.1%</w:t>
            </w:r>
          </w:p>
        </w:tc>
      </w:tr>
      <w:tr>
        <w:tc>
          <w:tcPr>
            <w:tcW w:type="dxa" w:w="2880"/>
          </w:tcPr>
          <w:p>
            <w:pPr>
              <w:spacing w:after="40"/>
            </w:pPr>
            <w:r>
              <w:rPr>
                <w:sz w:val="18"/>
              </w:rPr>
              <w:t>H5-3: B18 recall in 55-90%</w:t>
            </w:r>
          </w:p>
        </w:tc>
        <w:tc>
          <w:tcPr>
            <w:tcW w:type="dxa" w:w="2880"/>
          </w:tcPr>
          <w:p>
            <w:pPr>
              <w:spacing w:after="40"/>
            </w:pPr>
            <w:r>
              <w:rPr>
                <w:sz w:val="18"/>
              </w:rPr>
              <w:t>FAILED</w:t>
            </w:r>
          </w:p>
        </w:tc>
        <w:tc>
          <w:tcPr>
            <w:tcW w:type="dxa" w:w="2880"/>
          </w:tcPr>
          <w:p>
            <w:pPr>
              <w:spacing w:after="40"/>
            </w:pPr>
            <w:r>
              <w:rPr>
                <w:sz w:val="18"/>
              </w:rPr>
              <w:t>90.1%</w:t>
            </w:r>
          </w:p>
        </w:tc>
      </w:tr>
      <w:tr>
        <w:tc>
          <w:tcPr>
            <w:tcW w:type="dxa" w:w="2880"/>
          </w:tcPr>
          <w:p>
            <w:pPr>
              <w:spacing w:after="40"/>
            </w:pPr>
            <w:r>
              <w:rPr>
                <w:sz w:val="18"/>
              </w:rPr>
              <w:t>H5-4: B18 recall &gt;= B17</w:t>
            </w:r>
          </w:p>
        </w:tc>
        <w:tc>
          <w:tcPr>
            <w:tcW w:type="dxa" w:w="2880"/>
          </w:tcPr>
          <w:p>
            <w:pPr>
              <w:spacing w:after="40"/>
            </w:pPr>
            <w:r>
              <w:rPr>
                <w:sz w:val="18"/>
              </w:rPr>
              <w:t>HELD</w:t>
            </w:r>
          </w:p>
        </w:tc>
        <w:tc>
          <w:tcPr>
            <w:tcW w:type="dxa" w:w="2880"/>
          </w:tcPr>
          <w:p>
            <w:pPr>
              <w:spacing w:after="40"/>
            </w:pPr>
            <w:r>
              <w:rPr>
                <w:sz w:val="18"/>
              </w:rPr>
              <w:t>90.1% vs 90.1%</w:t>
            </w:r>
          </w:p>
        </w:tc>
      </w:tr>
      <w:tr>
        <w:tc>
          <w:tcPr>
            <w:tcW w:type="dxa" w:w="2880"/>
          </w:tcPr>
          <w:p>
            <w:pPr>
              <w:spacing w:after="40"/>
            </w:pPr>
            <w:r>
              <w:rPr>
                <w:sz w:val="18"/>
              </w:rPr>
              <w:t>H5-5: P1 cuts compliance vs P0, p&lt;0.05</w:t>
            </w:r>
          </w:p>
        </w:tc>
        <w:tc>
          <w:tcPr>
            <w:tcW w:type="dxa" w:w="2880"/>
          </w:tcPr>
          <w:p>
            <w:pPr>
              <w:spacing w:after="40"/>
            </w:pPr>
            <w:r>
              <w:rPr>
                <w:sz w:val="18"/>
              </w:rPr>
              <w:t>HELD</w:t>
            </w:r>
          </w:p>
        </w:tc>
        <w:tc>
          <w:tcPr>
            <w:tcW w:type="dxa" w:w="2880"/>
          </w:tcPr>
          <w:p>
            <w:pPr>
              <w:spacing w:after="40"/>
            </w:pPr>
            <w:r>
              <w:rPr>
                <w:sz w:val="18"/>
              </w:rPr>
              <w:t>37.4% -&gt; 18.3%, p=2.2e-05</w:t>
            </w:r>
          </w:p>
        </w:tc>
      </w:tr>
      <w:tr>
        <w:tc>
          <w:tcPr>
            <w:tcW w:type="dxa" w:w="2880"/>
          </w:tcPr>
          <w:p>
            <w:pPr>
              <w:spacing w:after="40"/>
            </w:pPr>
            <w:r>
              <w:rPr>
                <w:sz w:val="18"/>
              </w:rPr>
              <w:t>H5-6: PRIMARY: P4(B12) harm &lt; P2(B12) harm, p&lt;0.05</w:t>
            </w:r>
          </w:p>
        </w:tc>
        <w:tc>
          <w:tcPr>
            <w:tcW w:type="dxa" w:w="2880"/>
          </w:tcPr>
          <w:p>
            <w:pPr>
              <w:spacing w:after="40"/>
            </w:pPr>
            <w:r>
              <w:rPr>
                <w:sz w:val="18"/>
              </w:rPr>
              <w:t>FAILED</w:t>
            </w:r>
          </w:p>
        </w:tc>
        <w:tc>
          <w:tcPr>
            <w:tcW w:type="dxa" w:w="2880"/>
          </w:tcPr>
          <w:p>
            <w:pPr>
              <w:spacing w:after="40"/>
            </w:pPr>
            <w:r>
              <w:rPr>
                <w:sz w:val="18"/>
              </w:rPr>
              <w:t>20 -&gt; 15 of 131, p=0.23</w:t>
            </w:r>
          </w:p>
        </w:tc>
      </w:tr>
      <w:tr>
        <w:tc>
          <w:tcPr>
            <w:tcW w:type="dxa" w:w="2880"/>
          </w:tcPr>
          <w:p>
            <w:pPr>
              <w:spacing w:after="40"/>
            </w:pPr>
            <w:r>
              <w:rPr>
                <w:sz w:val="18"/>
              </w:rPr>
              <w:t>H5-7: P4(B12) harm &lt;= P2(B18) harm at lower benign exclusion</w:t>
            </w:r>
          </w:p>
        </w:tc>
        <w:tc>
          <w:tcPr>
            <w:tcW w:type="dxa" w:w="2880"/>
          </w:tcPr>
          <w:p>
            <w:pPr>
              <w:spacing w:after="40"/>
            </w:pPr>
            <w:r>
              <w:rPr>
                <w:sz w:val="18"/>
              </w:rPr>
              <w:t>FAILED</w:t>
            </w:r>
          </w:p>
        </w:tc>
        <w:tc>
          <w:tcPr>
            <w:tcW w:type="dxa" w:w="2880"/>
          </w:tcPr>
          <w:p>
            <w:pPr>
              <w:spacing w:after="40"/>
            </w:pPr>
            <w:r>
              <w:rPr>
                <w:sz w:val="18"/>
              </w:rPr>
              <w:t>P4(B12) 11.5% at 2.6% excluded; P2(B18) 4.6% at 11.0%</w:t>
            </w:r>
          </w:p>
        </w:tc>
      </w:tr>
      <w:tr>
        <w:tc>
          <w:tcPr>
            <w:tcW w:type="dxa" w:w="2880"/>
          </w:tcPr>
          <w:p>
            <w:pPr>
              <w:spacing w:after="40"/>
            </w:pPr>
            <w:r>
              <w:rPr>
                <w:sz w:val="18"/>
              </w:rPr>
              <w:t>H5-8: P4(B18) vs P2(B18) -- descriptive only (refused by require_power)</w:t>
            </w:r>
          </w:p>
        </w:tc>
        <w:tc>
          <w:tcPr>
            <w:tcW w:type="dxa" w:w="2880"/>
          </w:tcPr>
          <w:p>
            <w:pPr>
              <w:spacing w:after="40"/>
            </w:pPr>
            <w:r>
              <w:rPr>
                <w:sz w:val="18"/>
              </w:rPr>
              <w:t>DESCRIPTIVE</w:t>
            </w:r>
          </w:p>
        </w:tc>
        <w:tc>
          <w:tcPr>
            <w:tcW w:type="dxa" w:w="2880"/>
          </w:tcPr>
          <w:p>
            <w:pPr>
              <w:spacing w:after="40"/>
            </w:pPr>
            <w:r>
              <w:rPr>
                <w:sz w:val="18"/>
              </w:rPr>
              <w:t>6 -&gt; 4; paired {'n': 131, 'detected_a': 4, 'detected_b': 6, 'only_a': 1, 'only_b': 3, 'p_exact': 0.625}</w:t>
            </w:r>
          </w:p>
        </w:tc>
      </w:tr>
      <w:tr>
        <w:tc>
          <w:tcPr>
            <w:tcW w:type="dxa" w:w="2880"/>
          </w:tcPr>
          <w:p>
            <w:pPr>
              <w:spacing w:after="40"/>
            </w:pPr>
            <w:r>
              <w:rPr>
                <w:sz w:val="18"/>
              </w:rPr>
              <w:t>H4-1: B13 recall (evidence) in 35-70%</w:t>
            </w:r>
          </w:p>
        </w:tc>
        <w:tc>
          <w:tcPr>
            <w:tcW w:type="dxa" w:w="2880"/>
          </w:tcPr>
          <w:p>
            <w:pPr>
              <w:spacing w:after="40"/>
            </w:pPr>
            <w:r>
              <w:rPr>
                <w:sz w:val="18"/>
              </w:rPr>
              <w:t>HELD</w:t>
            </w:r>
          </w:p>
        </w:tc>
        <w:tc>
          <w:tcPr>
            <w:tcW w:type="dxa" w:w="2880"/>
          </w:tcPr>
          <w:p>
            <w:pPr>
              <w:spacing w:after="40"/>
            </w:pPr>
            <w:r>
              <w:rPr>
                <w:sz w:val="18"/>
              </w:rPr>
              <w:t>50.3%</w:t>
            </w:r>
          </w:p>
        </w:tc>
      </w:tr>
      <w:tr>
        <w:tc>
          <w:tcPr>
            <w:tcW w:type="dxa" w:w="2880"/>
          </w:tcPr>
          <w:p>
            <w:pPr>
              <w:spacing w:after="40"/>
            </w:pPr>
            <w:r>
              <w:rPr>
                <w:sz w:val="18"/>
              </w:rPr>
              <w:t>H4-2: B13 recall &gt; B14, p&lt;0.05</w:t>
            </w:r>
          </w:p>
        </w:tc>
        <w:tc>
          <w:tcPr>
            <w:tcW w:type="dxa" w:w="2880"/>
          </w:tcPr>
          <w:p>
            <w:pPr>
              <w:spacing w:after="40"/>
            </w:pPr>
            <w:r>
              <w:rPr>
                <w:sz w:val="18"/>
              </w:rPr>
              <w:t>HELD</w:t>
            </w:r>
          </w:p>
        </w:tc>
        <w:tc>
          <w:tcPr>
            <w:tcW w:type="dxa" w:w="2880"/>
          </w:tcPr>
          <w:p>
            <w:pPr>
              <w:spacing w:after="40"/>
            </w:pPr>
            <w:r>
              <w:rPr>
                <w:sz w:val="18"/>
              </w:rPr>
              <w:t>50.3% vs 20.4%, p=1.4e-14</w:t>
            </w:r>
          </w:p>
        </w:tc>
      </w:tr>
      <w:tr>
        <w:tc>
          <w:tcPr>
            <w:tcW w:type="dxa" w:w="2880"/>
          </w:tcPr>
          <w:p>
            <w:pPr>
              <w:spacing w:after="40"/>
            </w:pPr>
            <w:r>
              <w:rPr>
                <w:sz w:val="18"/>
              </w:rPr>
              <w:t>H4-3: B18 - B13 in 0..+12 points</w:t>
            </w:r>
          </w:p>
        </w:tc>
        <w:tc>
          <w:tcPr>
            <w:tcW w:type="dxa" w:w="2880"/>
          </w:tcPr>
          <w:p>
            <w:pPr>
              <w:spacing w:after="40"/>
            </w:pPr>
            <w:r>
              <w:rPr>
                <w:sz w:val="18"/>
              </w:rPr>
              <w:t>HELD</w:t>
            </w:r>
          </w:p>
        </w:tc>
        <w:tc>
          <w:tcPr>
            <w:tcW w:type="dxa" w:w="2880"/>
          </w:tcPr>
          <w:p>
            <w:pPr>
              <w:spacing w:after="40"/>
            </w:pPr>
            <w:r>
              <w:rPr>
                <w:sz w:val="18"/>
              </w:rPr>
              <w:t>+0.0</w:t>
            </w:r>
          </w:p>
        </w:tc>
      </w:tr>
      <w:tr>
        <w:tc>
          <w:tcPr>
            <w:tcW w:type="dxa" w:w="2880"/>
          </w:tcPr>
          <w:p>
            <w:pPr>
              <w:spacing w:after="40"/>
            </w:pPr>
            <w:r>
              <w:rPr>
                <w:sz w:val="18"/>
              </w:rPr>
              <w:t>H4-4: deberta@dev and llama_guard@dev recall &lt;= 20%</w:t>
            </w:r>
          </w:p>
        </w:tc>
        <w:tc>
          <w:tcPr>
            <w:tcW w:type="dxa" w:w="2880"/>
          </w:tcPr>
          <w:p>
            <w:pPr>
              <w:spacing w:after="40"/>
            </w:pPr>
            <w:r>
              <w:rPr>
                <w:sz w:val="18"/>
              </w:rPr>
              <w:t>HELD</w:t>
            </w:r>
          </w:p>
        </w:tc>
        <w:tc>
          <w:tcPr>
            <w:tcW w:type="dxa" w:w="2880"/>
          </w:tcPr>
          <w:p>
            <w:pPr>
              <w:spacing w:after="40"/>
            </w:pPr>
            <w:r>
              <w:rPr>
                <w:sz w:val="18"/>
              </w:rPr>
              <w:t>0.0%, 0.6%</w:t>
            </w:r>
          </w:p>
        </w:tc>
      </w:tr>
      <w:tr>
        <w:tc>
          <w:tcPr>
            <w:tcW w:type="dxa" w:w="2880"/>
          </w:tcPr>
          <w:p>
            <w:pPr>
              <w:spacing w:after="40"/>
            </w:pPr>
            <w:r>
              <w:rPr>
                <w:sz w:val="18"/>
              </w:rPr>
              <w:t>H4-5: B13 benign FPR (untrusted, evidence) in 3-30%</w:t>
            </w:r>
          </w:p>
        </w:tc>
        <w:tc>
          <w:tcPr>
            <w:tcW w:type="dxa" w:w="2880"/>
          </w:tcPr>
          <w:p>
            <w:pPr>
              <w:spacing w:after="40"/>
            </w:pPr>
            <w:r>
              <w:rPr>
                <w:sz w:val="18"/>
              </w:rPr>
              <w:t>HELD</w:t>
            </w:r>
          </w:p>
        </w:tc>
        <w:tc>
          <w:tcPr>
            <w:tcW w:type="dxa" w:w="2880"/>
          </w:tcPr>
          <w:p>
            <w:pPr>
              <w:spacing w:after="40"/>
            </w:pPr>
            <w:r>
              <w:rPr>
                <w:sz w:val="18"/>
              </w:rPr>
              <w:t>11.8%</w:t>
            </w:r>
          </w:p>
        </w:tc>
      </w:tr>
      <w:tr>
        <w:tc>
          <w:tcPr>
            <w:tcW w:type="dxa" w:w="2880"/>
          </w:tcPr>
          <w:p>
            <w:pPr>
              <w:spacing w:after="40"/>
            </w:pPr>
            <w:r>
              <w:rPr>
                <w:sz w:val="18"/>
              </w:rPr>
              <w:t>H4-6: B13/B17/B18 user_turn FPR each &lt;= 3%</w:t>
            </w:r>
          </w:p>
        </w:tc>
        <w:tc>
          <w:tcPr>
            <w:tcW w:type="dxa" w:w="2880"/>
          </w:tcPr>
          <w:p>
            <w:pPr>
              <w:spacing w:after="40"/>
            </w:pPr>
            <w:r>
              <w:rPr>
                <w:sz w:val="18"/>
              </w:rPr>
              <w:t>HELD</w:t>
            </w:r>
          </w:p>
        </w:tc>
        <w:tc>
          <w:tcPr>
            <w:tcW w:type="dxa" w:w="2880"/>
          </w:tcPr>
          <w:p>
            <w:pPr>
              <w:spacing w:after="40"/>
            </w:pPr>
            <w:r>
              <w:rPr>
                <w:sz w:val="18"/>
              </w:rPr>
              <w:t>0.0%, 0.0%, 1.5%</w:t>
            </w:r>
          </w:p>
        </w:tc>
      </w:tr>
      <w:tr>
        <w:tc>
          <w:tcPr>
            <w:tcW w:type="dxa" w:w="2880"/>
          </w:tcPr>
          <w:p>
            <w:pPr>
              <w:spacing w:after="40"/>
            </w:pPr>
            <w:r>
              <w:rPr>
                <w:sz w:val="18"/>
              </w:rPr>
              <w:t>H4-7: B20 recall &lt;= B17</w:t>
            </w:r>
          </w:p>
        </w:tc>
        <w:tc>
          <w:tcPr>
            <w:tcW w:type="dxa" w:w="2880"/>
          </w:tcPr>
          <w:p>
            <w:pPr>
              <w:spacing w:after="40"/>
            </w:pPr>
            <w:r>
              <w:rPr>
                <w:sz w:val="18"/>
              </w:rPr>
              <w:t>HELD</w:t>
            </w:r>
          </w:p>
        </w:tc>
        <w:tc>
          <w:tcPr>
            <w:tcW w:type="dxa" w:w="2880"/>
          </w:tcPr>
          <w:p>
            <w:pPr>
              <w:spacing w:after="40"/>
            </w:pPr>
            <w:r>
              <w:rPr>
                <w:sz w:val="18"/>
              </w:rPr>
              <w:t>48.4% vs 50.3%</w:t>
            </w:r>
          </w:p>
        </w:tc>
      </w:tr>
      <w:tr>
        <w:tc>
          <w:tcPr>
            <w:tcW w:type="dxa" w:w="2880"/>
          </w:tcPr>
          <w:p>
            <w:pPr>
              <w:spacing w:after="40"/>
            </w:pPr>
            <w:r>
              <w:rPr>
                <w:sz w:val="18"/>
              </w:rPr>
              <w:t>H4-8: framing drop on note-shaped attacks &lt; 15 points</w:t>
            </w:r>
          </w:p>
        </w:tc>
        <w:tc>
          <w:tcPr>
            <w:tcW w:type="dxa" w:w="2880"/>
          </w:tcPr>
          <w:p>
            <w:pPr>
              <w:spacing w:after="40"/>
            </w:pPr>
            <w:r>
              <w:rPr>
                <w:sz w:val="18"/>
              </w:rPr>
              <w:t>HELD</w:t>
            </w:r>
          </w:p>
        </w:tc>
        <w:tc>
          <w:tcPr>
            <w:tcW w:type="dxa" w:w="2880"/>
          </w:tcPr>
          <w:p>
            <w:pPr>
              <w:spacing w:after="40"/>
            </w:pPr>
            <w:r>
              <w:rPr>
                <w:sz w:val="18"/>
              </w:rPr>
              <w:t>60.5% -&gt; 56.1% (+4.5)</w:t>
            </w:r>
          </w:p>
        </w:tc>
      </w:tr>
      <w:tr>
        <w:tc>
          <w:tcPr>
            <w:tcW w:type="dxa" w:w="2880"/>
          </w:tcPr>
          <w:p>
            <w:pPr>
              <w:spacing w:after="40"/>
            </w:pPr>
            <w:r>
              <w:rPr>
                <w:sz w:val="18"/>
              </w:rPr>
              <w:t>H6-1: B17 matched-benign FPR in 2-15%</w:t>
            </w:r>
          </w:p>
        </w:tc>
        <w:tc>
          <w:tcPr>
            <w:tcW w:type="dxa" w:w="2880"/>
          </w:tcPr>
          <w:p>
            <w:pPr>
              <w:spacing w:after="40"/>
            </w:pPr>
            <w:r>
              <w:rPr>
                <w:sz w:val="18"/>
              </w:rPr>
              <w:t>HELD</w:t>
            </w:r>
          </w:p>
        </w:tc>
        <w:tc>
          <w:tcPr>
            <w:tcW w:type="dxa" w:w="2880"/>
          </w:tcPr>
          <w:p>
            <w:pPr>
              <w:spacing w:after="40"/>
            </w:pPr>
            <w:r>
              <w:rPr>
                <w:sz w:val="18"/>
              </w:rPr>
              <w:t>2.2%</w:t>
            </w:r>
          </w:p>
        </w:tc>
      </w:tr>
      <w:tr>
        <w:tc>
          <w:tcPr>
            <w:tcW w:type="dxa" w:w="2880"/>
          </w:tcPr>
          <w:p>
            <w:pPr>
              <w:spacing w:after="40"/>
            </w:pPr>
            <w:r>
              <w:rPr>
                <w:sz w:val="18"/>
              </w:rPr>
              <w:t>H6-2: B17 recall in 60-95%</w:t>
            </w:r>
          </w:p>
        </w:tc>
        <w:tc>
          <w:tcPr>
            <w:tcW w:type="dxa" w:w="2880"/>
          </w:tcPr>
          <w:p>
            <w:pPr>
              <w:spacing w:after="40"/>
            </w:pPr>
            <w:r>
              <w:rPr>
                <w:sz w:val="18"/>
              </w:rPr>
              <w:t>HELD</w:t>
            </w:r>
          </w:p>
        </w:tc>
        <w:tc>
          <w:tcPr>
            <w:tcW w:type="dxa" w:w="2880"/>
          </w:tcPr>
          <w:p>
            <w:pPr>
              <w:spacing w:after="40"/>
            </w:pPr>
            <w:r>
              <w:rPr>
                <w:sz w:val="18"/>
              </w:rPr>
              <w:t>77.6%</w:t>
            </w:r>
          </w:p>
        </w:tc>
      </w:tr>
      <w:tr>
        <w:tc>
          <w:tcPr>
            <w:tcW w:type="dxa" w:w="2880"/>
          </w:tcPr>
          <w:p>
            <w:pPr>
              <w:spacing w:after="40"/>
            </w:pPr>
            <w:r>
              <w:rPr>
                <w:sz w:val="18"/>
              </w:rPr>
              <w:t>H6-3: B14 recall &gt; B13, p&lt;0.05</w:t>
            </w:r>
          </w:p>
        </w:tc>
        <w:tc>
          <w:tcPr>
            <w:tcW w:type="dxa" w:w="2880"/>
          </w:tcPr>
          <w:p>
            <w:pPr>
              <w:spacing w:after="40"/>
            </w:pPr>
            <w:r>
              <w:rPr>
                <w:sz w:val="18"/>
              </w:rPr>
              <w:t>HELD</w:t>
            </w:r>
          </w:p>
        </w:tc>
        <w:tc>
          <w:tcPr>
            <w:tcW w:type="dxa" w:w="2880"/>
          </w:tcPr>
          <w:p>
            <w:pPr>
              <w:spacing w:after="40"/>
            </w:pPr>
            <w:r>
              <w:rPr>
                <w:sz w:val="18"/>
              </w:rPr>
              <w:t>77.4% vs 37.2%, p=3.2e-59</w:t>
            </w:r>
          </w:p>
        </w:tc>
      </w:tr>
      <w:tr>
        <w:tc>
          <w:tcPr>
            <w:tcW w:type="dxa" w:w="2880"/>
          </w:tcPr>
          <w:p>
            <w:pPr>
              <w:spacing w:after="40"/>
            </w:pPr>
            <w:r>
              <w:rPr>
                <w:sz w:val="18"/>
              </w:rPr>
              <w:t>H6-4: PRIMARY replication: P4(B12) &lt; P2(B12), p&lt;0.05</w:t>
            </w:r>
          </w:p>
        </w:tc>
        <w:tc>
          <w:tcPr>
            <w:tcW w:type="dxa" w:w="2880"/>
          </w:tcPr>
          <w:p>
            <w:pPr>
              <w:spacing w:after="40"/>
            </w:pPr>
            <w:r>
              <w:rPr>
                <w:sz w:val="18"/>
              </w:rPr>
              <w:t>HELD</w:t>
            </w:r>
          </w:p>
        </w:tc>
        <w:tc>
          <w:tcPr>
            <w:tcW w:type="dxa" w:w="2880"/>
          </w:tcPr>
          <w:p>
            <w:pPr>
              <w:spacing w:after="40"/>
            </w:pPr>
            <w:r>
              <w:rPr>
                <w:sz w:val="18"/>
              </w:rPr>
              <w:t>246 -&gt; 227 of 500, p=0.023</w:t>
            </w:r>
          </w:p>
        </w:tc>
      </w:tr>
      <w:tr>
        <w:tc>
          <w:tcPr>
            <w:tcW w:type="dxa" w:w="2880"/>
          </w:tcPr>
          <w:p>
            <w:pPr>
              <w:spacing w:after="40"/>
            </w:pPr>
            <w:r>
              <w:rPr>
                <w:sz w:val="18"/>
              </w:rPr>
              <w:t>H6-6: P4(B18) &lt; P2(B18), p&lt;0.05</w:t>
            </w:r>
          </w:p>
        </w:tc>
        <w:tc>
          <w:tcPr>
            <w:tcW w:type="dxa" w:w="2880"/>
          </w:tcPr>
          <w:p>
            <w:pPr>
              <w:spacing w:after="40"/>
            </w:pPr>
            <w:r>
              <w:rPr>
                <w:sz w:val="18"/>
              </w:rPr>
              <w:t>FAILED</w:t>
            </w:r>
          </w:p>
        </w:tc>
        <w:tc>
          <w:tcPr>
            <w:tcW w:type="dxa" w:w="2880"/>
          </w:tcPr>
          <w:p>
            <w:pPr>
              <w:spacing w:after="40"/>
            </w:pPr>
            <w:r>
              <w:rPr>
                <w:sz w:val="18"/>
              </w:rPr>
              <w:t>5 -&gt; 4 of 500, p=1</w:t>
            </w:r>
          </w:p>
        </w:tc>
      </w:tr>
      <w:tr>
        <w:tc>
          <w:tcPr>
            <w:tcW w:type="dxa" w:w="2880"/>
          </w:tcPr>
          <w:p>
            <w:pPr>
              <w:spacing w:after="40"/>
            </w:pPr>
            <w:r>
              <w:rPr>
                <w:sz w:val="18"/>
              </w:rPr>
              <w:t>H6-5: P1 cuts compliance vs P0, p&lt;0.05</w:t>
            </w:r>
          </w:p>
        </w:tc>
        <w:tc>
          <w:tcPr>
            <w:tcW w:type="dxa" w:w="2880"/>
          </w:tcPr>
          <w:p>
            <w:pPr>
              <w:spacing w:after="40"/>
            </w:pPr>
            <w:r>
              <w:rPr>
                <w:sz w:val="18"/>
              </w:rPr>
              <w:t>HELD</w:t>
            </w:r>
          </w:p>
        </w:tc>
        <w:tc>
          <w:tcPr>
            <w:tcW w:type="dxa" w:w="2880"/>
          </w:tcPr>
          <w:p>
            <w:pPr>
              <w:spacing w:after="40"/>
            </w:pPr>
            <w:r>
              <w:rPr>
                <w:sz w:val="18"/>
              </w:rPr>
              <w:t>64.8% -&gt; 57.4%, p=0.0003</w:t>
            </w:r>
          </w:p>
        </w:tc>
      </w:tr>
      <w:tr>
        <w:tc>
          <w:tcPr>
            <w:tcW w:type="dxa" w:w="2880"/>
          </w:tcPr>
          <w:p>
            <w:pPr>
              <w:spacing w:after="40"/>
            </w:pPr>
            <w:r>
              <w:rPr>
                <w:sz w:val="18"/>
              </w:rPr>
              <w:t>H6-7: B14 recall on degree-3 &gt;= degree-1</w:t>
            </w:r>
          </w:p>
        </w:tc>
        <w:tc>
          <w:tcPr>
            <w:tcW w:type="dxa" w:w="2880"/>
          </w:tcPr>
          <w:p>
            <w:pPr>
              <w:spacing w:after="40"/>
            </w:pPr>
            <w:r>
              <w:rPr>
                <w:sz w:val="18"/>
              </w:rPr>
              <w:t>HELD</w:t>
            </w:r>
          </w:p>
        </w:tc>
        <w:tc>
          <w:tcPr>
            <w:tcW w:type="dxa" w:w="2880"/>
          </w:tcPr>
          <w:p>
            <w:pPr>
              <w:spacing w:after="40"/>
            </w:pPr>
            <w:r>
              <w:rPr>
                <w:sz w:val="18"/>
              </w:rPr>
              <w:t>degree 1 70.7%, degree 3 85.3%</w:t>
            </w:r>
          </w:p>
        </w:tc>
      </w:tr>
      <w:tr>
        <w:tc>
          <w:tcPr>
            <w:tcW w:type="dxa" w:w="2880"/>
          </w:tcPr>
          <w:p>
            <w:pPr>
              <w:spacing w:after="40"/>
            </w:pPr>
            <w:r>
              <w:rPr>
                <w:sz w:val="18"/>
              </w:rPr>
              <w:t>H7-1: B14 recall instruction &gt; note families (owner-matched)</w:t>
            </w:r>
          </w:p>
        </w:tc>
        <w:tc>
          <w:tcPr>
            <w:tcW w:type="dxa" w:w="2880"/>
          </w:tcPr>
          <w:p>
            <w:pPr>
              <w:spacing w:after="40"/>
            </w:pPr>
            <w:r>
              <w:rPr>
                <w:sz w:val="18"/>
              </w:rPr>
              <w:t>HELD</w:t>
            </w:r>
          </w:p>
        </w:tc>
        <w:tc>
          <w:tcPr>
            <w:tcW w:type="dxa" w:w="2880"/>
          </w:tcPr>
          <w:p>
            <w:pPr>
              <w:spacing w:after="40"/>
            </w:pPr>
            <w:r>
              <w:rPr>
                <w:sz w:val="18"/>
              </w:rPr>
              <w:t>instruction 46.2% vs note 2.2%</w:t>
            </w:r>
          </w:p>
        </w:tc>
      </w:tr>
      <w:tr>
        <w:tc>
          <w:tcPr>
            <w:tcW w:type="dxa" w:w="2880"/>
          </w:tcPr>
          <w:p>
            <w:pPr>
              <w:spacing w:after="40"/>
            </w:pPr>
            <w:r>
              <w:rPr>
                <w:sz w:val="18"/>
              </w:rPr>
              <w:t>H7-2: B13 recall on instruction families &gt;= 50%</w:t>
            </w:r>
          </w:p>
        </w:tc>
        <w:tc>
          <w:tcPr>
            <w:tcW w:type="dxa" w:w="2880"/>
          </w:tcPr>
          <w:p>
            <w:pPr>
              <w:spacing w:after="40"/>
            </w:pPr>
            <w:r>
              <w:rPr>
                <w:sz w:val="18"/>
              </w:rPr>
              <w:t>HELD</w:t>
            </w:r>
          </w:p>
        </w:tc>
        <w:tc>
          <w:tcPr>
            <w:tcW w:type="dxa" w:w="2880"/>
          </w:tcPr>
          <w:p>
            <w:pPr>
              <w:spacing w:after="40"/>
            </w:pPr>
            <w:r>
              <w:rPr>
                <w:sz w:val="18"/>
              </w:rPr>
              <w:t>68.8%</w:t>
            </w:r>
          </w:p>
        </w:tc>
      </w:tr>
      <w:tr>
        <w:tc>
          <w:tcPr>
            <w:tcW w:type="dxa" w:w="2880"/>
          </w:tcPr>
          <w:p>
            <w:pPr>
              <w:spacing w:after="40"/>
            </w:pPr>
            <w:r>
              <w:rPr>
                <w:sz w:val="18"/>
              </w:rPr>
              <w:t>H7-3: B13c - B13 on contradiction in 0..+15 points</w:t>
            </w:r>
          </w:p>
        </w:tc>
        <w:tc>
          <w:tcPr>
            <w:tcW w:type="dxa" w:w="2880"/>
          </w:tcPr>
          <w:p>
            <w:pPr>
              <w:spacing w:after="40"/>
            </w:pPr>
            <w:r>
              <w:rPr>
                <w:sz w:val="18"/>
              </w:rPr>
              <w:t>HELD</w:t>
            </w:r>
          </w:p>
        </w:tc>
        <w:tc>
          <w:tcPr>
            <w:tcW w:type="dxa" w:w="2880"/>
          </w:tcPr>
          <w:p>
            <w:pPr>
              <w:spacing w:after="40"/>
            </w:pPr>
            <w:r>
              <w:rPr>
                <w:sz w:val="18"/>
              </w:rPr>
              <w:t>+0.0</w:t>
            </w:r>
          </w:p>
        </w:tc>
      </w:tr>
      <w:tr>
        <w:tc>
          <w:tcPr>
            <w:tcW w:type="dxa" w:w="2880"/>
          </w:tcPr>
          <w:p>
            <w:pPr>
              <w:spacing w:after="40"/>
            </w:pPr>
            <w:r>
              <w:rPr>
                <w:sz w:val="18"/>
              </w:rPr>
              <w:t>H7-4: B13c - B13 benign FPR &lt;= +5 points</w:t>
            </w:r>
          </w:p>
        </w:tc>
        <w:tc>
          <w:tcPr>
            <w:tcW w:type="dxa" w:w="2880"/>
          </w:tcPr>
          <w:p>
            <w:pPr>
              <w:spacing w:after="40"/>
            </w:pPr>
            <w:r>
              <w:rPr>
                <w:sz w:val="18"/>
              </w:rPr>
              <w:t>HELD</w:t>
            </w:r>
          </w:p>
        </w:tc>
        <w:tc>
          <w:tcPr>
            <w:tcW w:type="dxa" w:w="2880"/>
          </w:tcPr>
          <w:p>
            <w:pPr>
              <w:spacing w:after="40"/>
            </w:pPr>
            <w:r>
              <w:rPr>
                <w:sz w:val="18"/>
              </w:rPr>
              <w:t>+1.4</w:t>
            </w:r>
          </w:p>
        </w:tc>
      </w:tr>
      <w:tr>
        <w:tc>
          <w:tcPr>
            <w:tcW w:type="dxa" w:w="2880"/>
          </w:tcPr>
          <w:p>
            <w:pPr>
              <w:spacing w:after="40"/>
            </w:pPr>
            <w:r>
              <w:rPr>
                <w:sz w:val="18"/>
              </w:rPr>
              <w:t>H7-5: B18 recall &gt;= B13 recall</w:t>
            </w:r>
          </w:p>
        </w:tc>
        <w:tc>
          <w:tcPr>
            <w:tcW w:type="dxa" w:w="2880"/>
          </w:tcPr>
          <w:p>
            <w:pPr>
              <w:spacing w:after="40"/>
            </w:pPr>
            <w:r>
              <w:rPr>
                <w:sz w:val="18"/>
              </w:rPr>
              <w:t>HELD</w:t>
            </w:r>
          </w:p>
        </w:tc>
        <w:tc>
          <w:tcPr>
            <w:tcW w:type="dxa" w:w="2880"/>
          </w:tcPr>
          <w:p>
            <w:pPr>
              <w:spacing w:after="40"/>
            </w:pPr>
            <w:r>
              <w:rPr>
                <w:sz w:val="18"/>
              </w:rPr>
              <w:t>56.8% vs 53.6%</w:t>
            </w:r>
          </w:p>
        </w:tc>
      </w:tr>
      <w:tr>
        <w:tc>
          <w:tcPr>
            <w:tcW w:type="dxa" w:w="2880"/>
          </w:tcPr>
          <w:p>
            <w:pPr>
              <w:spacing w:after="40"/>
            </w:pPr>
            <w:r>
              <w:rPr>
                <w:sz w:val="18"/>
              </w:rPr>
              <w:t>H7-6: user_turn FPR each &lt;= 3%</w:t>
            </w:r>
          </w:p>
        </w:tc>
        <w:tc>
          <w:tcPr>
            <w:tcW w:type="dxa" w:w="2880"/>
          </w:tcPr>
          <w:p>
            <w:pPr>
              <w:spacing w:after="40"/>
            </w:pPr>
            <w:r>
              <w:rPr>
                <w:sz w:val="18"/>
              </w:rPr>
              <w:t>FAILED</w:t>
            </w:r>
          </w:p>
        </w:tc>
        <w:tc>
          <w:tcPr>
            <w:tcW w:type="dxa" w:w="2880"/>
          </w:tcPr>
          <w:p>
            <w:pPr>
              <w:spacing w:after="40"/>
            </w:pPr>
            <w:r>
              <w:rPr>
                <w:sz w:val="18"/>
              </w:rPr>
              <w:t>0.0%, 0.0%, 4.9%</w:t>
            </w:r>
          </w:p>
        </w:tc>
      </w:tr>
      <w:tr>
        <w:tc>
          <w:tcPr>
            <w:tcW w:type="dxa" w:w="2880"/>
          </w:tcPr>
          <w:p>
            <w:pPr>
              <w:spacing w:after="40"/>
            </w:pPr>
            <w:r>
              <w:rPr>
                <w:sz w:val="18"/>
              </w:rPr>
              <w:t>H7-7: framing drop larger on instruction than note families</w:t>
            </w:r>
          </w:p>
        </w:tc>
        <w:tc>
          <w:tcPr>
            <w:tcW w:type="dxa" w:w="2880"/>
          </w:tcPr>
          <w:p>
            <w:pPr>
              <w:spacing w:after="40"/>
            </w:pPr>
            <w:r>
              <w:rPr>
                <w:sz w:val="18"/>
              </w:rPr>
              <w:t>FAILED</w:t>
            </w:r>
          </w:p>
        </w:tc>
        <w:tc>
          <w:tcPr>
            <w:tcW w:type="dxa" w:w="2880"/>
          </w:tcPr>
          <w:p>
            <w:pPr>
              <w:spacing w:after="40"/>
            </w:pPr>
            <w:r>
              <w:rPr>
                <w:sz w:val="18"/>
              </w:rPr>
              <w:t>instruction -5.0 vs note +17.8 points</w:t>
            </w:r>
          </w:p>
        </w:tc>
      </w:tr>
      <w:tr>
        <w:tc>
          <w:tcPr>
            <w:tcW w:type="dxa" w:w="2880"/>
          </w:tcPr>
          <w:p>
            <w:pPr>
              <w:spacing w:after="40"/>
            </w:pPr>
            <w:r>
              <w:rPr>
                <w:sz w:val="18"/>
              </w:rPr>
              <w:t>B-1: framing cuts own-attack harm by 0-10 points</w:t>
            </w:r>
          </w:p>
        </w:tc>
        <w:tc>
          <w:tcPr>
            <w:tcW w:type="dxa" w:w="2880"/>
          </w:tcPr>
          <w:p>
            <w:pPr>
              <w:spacing w:after="40"/>
            </w:pPr>
            <w:r>
              <w:rPr>
                <w:sz w:val="18"/>
              </w:rPr>
              <w:t>HELD</w:t>
            </w:r>
          </w:p>
        </w:tc>
        <w:tc>
          <w:tcPr>
            <w:tcW w:type="dxa" w:w="2880"/>
          </w:tcPr>
          <w:p>
            <w:pPr>
              <w:spacing w:after="40"/>
            </w:pPr>
            <w:r>
              <w:rPr>
                <w:sz w:val="18"/>
              </w:rPr>
              <w:t>+4.2</w:t>
            </w:r>
          </w:p>
        </w:tc>
      </w:tr>
      <w:tr>
        <w:tc>
          <w:tcPr>
            <w:tcW w:type="dxa" w:w="2880"/>
          </w:tcPr>
          <w:p>
            <w:pPr>
              <w:spacing w:after="40"/>
            </w:pPr>
            <w:r>
              <w:rPr>
                <w:sz w:val="18"/>
              </w:rPr>
              <w:t>B-2: B13 + frame harm &lt;= B13 harm</w:t>
            </w:r>
          </w:p>
        </w:tc>
        <w:tc>
          <w:tcPr>
            <w:tcW w:type="dxa" w:w="2880"/>
          </w:tcPr>
          <w:p>
            <w:pPr>
              <w:spacing w:after="40"/>
            </w:pPr>
            <w:r>
              <w:rPr>
                <w:sz w:val="18"/>
              </w:rPr>
              <w:t>HELD</w:t>
            </w:r>
          </w:p>
        </w:tc>
        <w:tc>
          <w:tcPr>
            <w:tcW w:type="dxa" w:w="2880"/>
          </w:tcPr>
          <w:p>
            <w:pPr>
              <w:spacing w:after="40"/>
            </w:pPr>
            <w:r>
              <w:rPr>
                <w:sz w:val="18"/>
              </w:rPr>
              <w:t>6.5% vs 9.1%</w:t>
            </w:r>
          </w:p>
        </w:tc>
      </w:tr>
      <w:tr>
        <w:tc>
          <w:tcPr>
            <w:tcW w:type="dxa" w:w="2880"/>
          </w:tcPr>
          <w:p>
            <w:pPr>
              <w:spacing w:after="40"/>
            </w:pPr>
            <w:r>
              <w:rPr>
                <w:sz w:val="18"/>
              </w:rPr>
              <w:t>B-3: framing cuts Gemini compliance, p&lt;0.05</w:t>
            </w:r>
          </w:p>
        </w:tc>
        <w:tc>
          <w:tcPr>
            <w:tcW w:type="dxa" w:w="2880"/>
          </w:tcPr>
          <w:p>
            <w:pPr>
              <w:spacing w:after="40"/>
            </w:pPr>
            <w:r>
              <w:rPr>
                <w:sz w:val="18"/>
              </w:rPr>
              <w:t>HELD</w:t>
            </w:r>
          </w:p>
        </w:tc>
        <w:tc>
          <w:tcPr>
            <w:tcW w:type="dxa" w:w="2880"/>
          </w:tcPr>
          <w:p>
            <w:pPr>
              <w:spacing w:after="40"/>
            </w:pPr>
            <w:r>
              <w:rPr>
                <w:sz w:val="18"/>
              </w:rPr>
              <w:t>50.0% -&gt; 13.3%, p=4.8e-07</w:t>
            </w:r>
          </w:p>
        </w:tc>
      </w:tr>
      <w:tr>
        <w:tc>
          <w:tcPr>
            <w:tcW w:type="dxa" w:w="2880"/>
          </w:tcPr>
          <w:p>
            <w:pPr>
              <w:spacing w:after="40"/>
            </w:pPr>
            <w:r>
              <w:rPr>
                <w:sz w:val="18"/>
              </w:rPr>
              <w:t>B-4: Gemini raw compliance &lt; qwen's</w:t>
            </w:r>
          </w:p>
        </w:tc>
        <w:tc>
          <w:tcPr>
            <w:tcW w:type="dxa" w:w="2880"/>
          </w:tcPr>
          <w:p>
            <w:pPr>
              <w:spacing w:after="40"/>
            </w:pPr>
            <w:r>
              <w:rPr>
                <w:sz w:val="18"/>
              </w:rPr>
              <w:t>HELD</w:t>
            </w:r>
          </w:p>
        </w:tc>
        <w:tc>
          <w:tcPr>
            <w:tcW w:type="dxa" w:w="2880"/>
          </w:tcPr>
          <w:p>
            <w:pPr>
              <w:spacing w:after="40"/>
            </w:pPr>
            <w:r>
              <w:rPr>
                <w:sz w:val="18"/>
              </w:rPr>
              <w:t>50.0% vs 51.7%</w:t>
            </w:r>
          </w:p>
        </w:tc>
      </w:tr>
      <w:tr>
        <w:tc>
          <w:tcPr>
            <w:tcW w:type="dxa" w:w="2880"/>
          </w:tcPr>
          <w:p>
            <w:pPr>
              <w:spacing w:after="40"/>
            </w:pPr>
            <w:r>
              <w:rPr>
                <w:sz w:val="18"/>
              </w:rPr>
              <w:t>B-5: a radius above 0.90 satisfies the selection rule</w:t>
            </w:r>
          </w:p>
        </w:tc>
        <w:tc>
          <w:tcPr>
            <w:tcW w:type="dxa" w:w="2880"/>
          </w:tcPr>
          <w:p>
            <w:pPr>
              <w:spacing w:after="40"/>
            </w:pPr>
            <w:r>
              <w:rPr>
                <w:sz w:val="18"/>
              </w:rPr>
              <w:t>HELD</w:t>
            </w:r>
          </w:p>
        </w:tc>
        <w:tc>
          <w:tcPr>
            <w:tcW w:type="dxa" w:w="2880"/>
          </w:tcPr>
          <w:p>
            <w:pPr>
              <w:spacing w:after="40"/>
            </w:pPr>
            <w:r>
              <w:rPr>
                <w:sz w:val="18"/>
              </w:rPr>
              <w:t>radius 0.95 keeps the adaptive-evasion effect with a ledger-poisoning blast radius of 6.4% (0.90: 29.7%)</w:t>
            </w:r>
          </w:p>
        </w:tc>
      </w:tr>
      <w:tr>
        <w:tc>
          <w:tcPr>
            <w:tcW w:type="dxa" w:w="2880"/>
          </w:tcPr>
          <w:p>
            <w:pPr>
              <w:spacing w:after="40"/>
            </w:pPr>
            <w:r>
              <w:rPr>
                <w:sz w:val="18"/>
              </w:rPr>
              <w:t>B-6: some generator's acceptance &gt;= 8.4% + 15 points</w:t>
            </w:r>
          </w:p>
        </w:tc>
        <w:tc>
          <w:tcPr>
            <w:tcW w:type="dxa" w:w="2880"/>
          </w:tcPr>
          <w:p>
            <w:pPr>
              <w:spacing w:after="40"/>
            </w:pPr>
            <w:r>
              <w:rPr>
                <w:sz w:val="18"/>
              </w:rPr>
              <w:t>HELD</w:t>
            </w:r>
          </w:p>
        </w:tc>
        <w:tc>
          <w:tcPr>
            <w:tcW w:type="dxa" w:w="2880"/>
          </w:tcPr>
          <w:p>
            <w:pPr>
              <w:spacing w:after="40"/>
            </w:pPr>
            <w:r>
              <w:rPr>
                <w:sz w:val="18"/>
              </w:rPr>
              <w:t>best 27.5%</w:t>
            </w:r>
          </w:p>
        </w:tc>
      </w:tr>
      <w:tr>
        <w:tc>
          <w:tcPr>
            <w:tcW w:type="dxa" w:w="2880"/>
          </w:tcPr>
          <w:p>
            <w:pPr>
              <w:spacing w:after="40"/>
            </w:pPr>
            <w:r>
              <w:rPr>
                <w:sz w:val="18"/>
              </w:rPr>
              <w:t>L-1: ledger@0.95 + B13 evades on fewer seeds than B13 alone, p&lt;0.05</w:t>
            </w:r>
          </w:p>
        </w:tc>
        <w:tc>
          <w:tcPr>
            <w:tcW w:type="dxa" w:w="2880"/>
          </w:tcPr>
          <w:p>
            <w:pPr>
              <w:spacing w:after="40"/>
            </w:pPr>
            <w:r>
              <w:rPr>
                <w:sz w:val="18"/>
              </w:rPr>
              <w:t>HELD</w:t>
            </w:r>
          </w:p>
        </w:tc>
        <w:tc>
          <w:tcPr>
            <w:tcW w:type="dxa" w:w="2880"/>
          </w:tcPr>
          <w:p>
            <w:pPr>
              <w:spacing w:after="40"/>
            </w:pPr>
            <w:r>
              <w:rPr>
                <w:sz w:val="18"/>
              </w:rPr>
              <w:t>22/48 -&gt; 5/48, p=7.6e-05</w:t>
            </w:r>
          </w:p>
        </w:tc>
      </w:tr>
      <w:tr>
        <w:tc>
          <w:tcPr>
            <w:tcW w:type="dxa" w:w="2880"/>
          </w:tcPr>
          <w:p>
            <w:pPr>
              <w:spacing w:after="40"/>
            </w:pPr>
            <w:r>
              <w:rPr>
                <w:sz w:val="18"/>
              </w:rPr>
              <w:t>L-2: ledger-arm evasion &lt;= 8/48</w:t>
            </w:r>
          </w:p>
        </w:tc>
        <w:tc>
          <w:tcPr>
            <w:tcW w:type="dxa" w:w="2880"/>
          </w:tcPr>
          <w:p>
            <w:pPr>
              <w:spacing w:after="40"/>
            </w:pPr>
            <w:r>
              <w:rPr>
                <w:sz w:val="18"/>
              </w:rPr>
              <w:t>HELD</w:t>
            </w:r>
          </w:p>
        </w:tc>
        <w:tc>
          <w:tcPr>
            <w:tcW w:type="dxa" w:w="2880"/>
          </w:tcPr>
          <w:p>
            <w:pPr>
              <w:spacing w:after="40"/>
            </w:pPr>
            <w:r>
              <w:rPr>
                <w:sz w:val="18"/>
              </w:rPr>
              <w:t>5/48</w:t>
            </w:r>
          </w:p>
        </w:tc>
      </w:tr>
    </w:tbl>
    <w:p>
      <w:pPr>
        <w:spacing w:after="200"/>
      </w:pPr>
      <w:r>
        <w:rPr>
          <w:i/>
          <w:sz w:val="18"/>
        </w:rPr>
        <w:t>Table 16. Every round-7 pre-registered prediction, scored mechanically from the artifacts (phase17/report_round7.py): 31/37 held, verdict CALIBRATED. Failures stay in the table.</w:t>
      </w:r>
    </w:p>
    <w:p>
      <w:pPr>
        <w:pStyle w:val="Heading2"/>
      </w:pPr>
      <w:r>
        <w:t>13B. The Last Measurements: Cost, Adaptation, a Better Judge, and a Stronger Agent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Benign task</w:t>
            </w:r>
          </w:p>
        </w:tc>
        <w:tc>
          <w:tcPr>
            <w:tcW w:type="dxa" w:w="1728"/>
          </w:tcPr>
          <w:p>
            <w:pPr>
              <w:spacing w:after="40"/>
            </w:pPr>
            <w:r>
              <w:rPr>
                <w:b/>
                <w:sz w:val="18"/>
              </w:rPr>
              <w:t>Useful without frame</w:t>
            </w:r>
          </w:p>
        </w:tc>
        <w:tc>
          <w:tcPr>
            <w:tcW w:type="dxa" w:w="1728"/>
          </w:tcPr>
          <w:p>
            <w:pPr>
              <w:spacing w:after="40"/>
            </w:pPr>
            <w:r>
              <w:rPr>
                <w:b/>
                <w:sz w:val="18"/>
              </w:rPr>
              <w:t>Useful with frame</w:t>
            </w:r>
          </w:p>
        </w:tc>
        <w:tc>
          <w:tcPr>
            <w:tcW w:type="dxa" w:w="1728"/>
          </w:tcPr>
          <w:p>
            <w:pPr>
              <w:spacing w:after="40"/>
            </w:pPr>
            <w:r>
              <w:rPr>
                <w:b/>
                <w:sz w:val="18"/>
              </w:rPr>
              <w:t>Loss (points)</w:t>
            </w:r>
          </w:p>
        </w:tc>
        <w:tc>
          <w:tcPr>
            <w:tcW w:type="dxa" w:w="1728"/>
          </w:tcPr>
          <w:p>
            <w:pPr>
              <w:spacing w:after="40"/>
            </w:pPr>
            <w:r>
              <w:rPr>
                <w:b/>
                <w:sz w:val="18"/>
              </w:rPr>
              <w:t>p (paired)</w:t>
            </w:r>
          </w:p>
        </w:tc>
      </w:tr>
      <w:tr>
        <w:tc>
          <w:tcPr>
            <w:tcW w:type="dxa" w:w="1728"/>
          </w:tcPr>
          <w:p>
            <w:pPr>
              <w:spacing w:after="40"/>
            </w:pPr>
            <w:r>
              <w:rPr>
                <w:sz w:val="18"/>
              </w:rPr>
              <w:t>plan_week</w:t>
            </w:r>
          </w:p>
        </w:tc>
        <w:tc>
          <w:tcPr>
            <w:tcW w:type="dxa" w:w="1728"/>
          </w:tcPr>
          <w:p>
            <w:pPr>
              <w:spacing w:after="40"/>
            </w:pPr>
            <w:r>
              <w:rPr>
                <w:sz w:val="18"/>
              </w:rPr>
              <w:t>30.3%</w:t>
            </w:r>
          </w:p>
        </w:tc>
        <w:tc>
          <w:tcPr>
            <w:tcW w:type="dxa" w:w="1728"/>
          </w:tcPr>
          <w:p>
            <w:pPr>
              <w:spacing w:after="40"/>
            </w:pPr>
            <w:r>
              <w:rPr>
                <w:sz w:val="18"/>
              </w:rPr>
              <w:t>32.0%</w:t>
            </w:r>
          </w:p>
        </w:tc>
        <w:tc>
          <w:tcPr>
            <w:tcW w:type="dxa" w:w="1728"/>
          </w:tcPr>
          <w:p>
            <w:pPr>
              <w:spacing w:after="40"/>
            </w:pPr>
            <w:r>
              <w:rPr>
                <w:sz w:val="18"/>
              </w:rPr>
              <w:t>-1.7</w:t>
            </w:r>
          </w:p>
        </w:tc>
        <w:tc>
          <w:tcPr>
            <w:tcW w:type="dxa" w:w="1728"/>
          </w:tcPr>
          <w:p>
            <w:pPr>
              <w:spacing w:after="40"/>
            </w:pPr>
            <w:r>
              <w:rPr>
                <w:sz w:val="18"/>
              </w:rPr>
              <w:t>0.68</w:t>
            </w:r>
          </w:p>
        </w:tc>
      </w:tr>
      <w:tr>
        <w:tc>
          <w:tcPr>
            <w:tcW w:type="dxa" w:w="1728"/>
          </w:tcPr>
          <w:p>
            <w:pPr>
              <w:spacing w:after="40"/>
            </w:pPr>
            <w:r>
              <w:rPr>
                <w:sz w:val="18"/>
              </w:rPr>
              <w:t>direct_question</w:t>
            </w:r>
          </w:p>
        </w:tc>
        <w:tc>
          <w:tcPr>
            <w:tcW w:type="dxa" w:w="1728"/>
          </w:tcPr>
          <w:p>
            <w:pPr>
              <w:spacing w:after="40"/>
            </w:pPr>
            <w:r>
              <w:rPr>
                <w:sz w:val="18"/>
              </w:rPr>
              <w:t>63.7%</w:t>
            </w:r>
          </w:p>
        </w:tc>
        <w:tc>
          <w:tcPr>
            <w:tcW w:type="dxa" w:w="1728"/>
          </w:tcPr>
          <w:p>
            <w:pPr>
              <w:spacing w:after="40"/>
            </w:pPr>
            <w:r>
              <w:rPr>
                <w:sz w:val="18"/>
              </w:rPr>
              <w:t>58.7%</w:t>
            </w:r>
          </w:p>
        </w:tc>
        <w:tc>
          <w:tcPr>
            <w:tcW w:type="dxa" w:w="1728"/>
          </w:tcPr>
          <w:p>
            <w:pPr>
              <w:spacing w:after="40"/>
            </w:pPr>
            <w:r>
              <w:rPr>
                <w:sz w:val="18"/>
              </w:rPr>
              <w:t>+5.0</w:t>
            </w:r>
          </w:p>
        </w:tc>
        <w:tc>
          <w:tcPr>
            <w:tcW w:type="dxa" w:w="1728"/>
          </w:tcPr>
          <w:p>
            <w:pPr>
              <w:spacing w:after="40"/>
            </w:pPr>
            <w:r>
              <w:rPr>
                <w:sz w:val="18"/>
              </w:rPr>
              <w:t>0.082</w:t>
            </w:r>
          </w:p>
        </w:tc>
      </w:tr>
    </w:tbl>
    <w:p>
      <w:pPr>
        <w:spacing w:after="200"/>
      </w:pPr>
      <w:r>
        <w:rPr>
          <w:i/>
          <w:sz w:val="18"/>
        </w:rPr>
        <w:t>Table 18. What the neutralisation frame costs on BENIGN memories: 300 benign notes, each used by the agent (qwen2.5:7b) for an ordinary task with and without the v3_depersonalise frame, judged by llama3.1:8b. A frame with no false positives can still cost usefulness; this is that cost. Source: phase17/data/neutralise_utility.json.</w:t>
      </w:r>
    </w:p>
    <w:p>
      <w:pPr>
        <w:spacing w:after="120"/>
      </w:pPr>
      <w:r>
        <w:t>No task loses usefulness significantly under the frame. The largest point loss is direct_question, +5.0 points (p=0.082): at the edge of this document's noise floor and not significant, so it is reported as a possible small cost rather than none. The harmful v1 frame, by contrast, cost 10 points.</w:t>
      </w:r>
    </w:p>
    <w:p>
      <w:pPr>
        <w:spacing w:after="120"/>
      </w:pPr>
      <w:r>
        <w:t>Adaptive attacker against the neutralisation frame: given the defense's own feedback and 5 rewrites, it evaded on 6 of 31 seeds that the defense had stopped (19.4%; 95% CI 9.2%-36.3%). Reference: stateless detection: 32/130 = 24.6% (eval_rejection_powered). Seeds were attacks the defense stopped, so this is an evasion rate conditional on an initial catch. DESCRIPTIVE ONLY: too few eligible seeds for the power check, so no test is reported.</w:t>
      </w:r>
    </w:p>
    <w:p>
      <w:pPr>
        <w:spacing w:after="120"/>
      </w:pPr>
      <w:r>
        <w:t>Adaptive attacker against corroboration (B13): given the defense's own feedback and 5 rewrites, it evaded on 22 of 48 seeds that the defense had stopped (45.8%; 95% CI 32.6%-59.7%). Reference: stateless detection: 32/130 = 24.6% (eval_rejection_powered). Seeds were attacks the defense stopped, so this is an evasion rate conditional on an initial catch. Against the stateless reference sample (32/130), Fisher p=0.0096.</w:t>
      </w:r>
    </w:p>
    <w:p>
      <w:pPr>
        <w:spacing w:after="120"/>
      </w:pPr>
      <w:r>
        <w:t>EXPLORATORY (post-hoc, development data, an upper bound): the successful rewrites against corroboration are light paraphrases -- the median winning rewrite sits at cosine 0.976 to an attempt already rejected. The rejection ledger would have blocked 13 of the 22 evasions at its frozen radius (0.97) and 16 at the recommended 0.95, leaving at most 6/48. A blocked attacker would have kept rewriting, so this bounds the composition rather than measuring it; the composed run is listed as open. Source: phase17/data/adaptive_ledger_exploratory.json.</w:t>
      </w:r>
    </w:p>
    <w:p>
      <w:pPr>
        <w:spacing w:after="120"/>
      </w:pPr>
      <w:r>
        <w:t>MEASURED (pre-registration addendum 4, committed before the run): the composition, on the identical 48 seeds with the same attacker and budget. Corroboration wrapped by the ledger at radius 0.95 was evaded on 5 of 48 seeds against 22 without it (paired +1/-18, exact McNemar p=7.6e-05); prediction L-1 HELD, L-2 HELD. The ledger's cost at this radius is the 6.4% ledger-poisoning blast radius measured on development data. Source: phase17/data/adaptive_ledger_b13.json.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Judge</w:t>
            </w:r>
          </w:p>
        </w:tc>
        <w:tc>
          <w:tcPr>
            <w:tcW w:type="dxa" w:w="1728"/>
          </w:tcPr>
          <w:p>
            <w:pPr>
              <w:spacing w:after="40"/>
            </w:pPr>
            <w:r>
              <w:rPr>
                <w:b/>
                <w:sz w:val="18"/>
              </w:rPr>
              <w:t>Task-alone base rate</w:t>
            </w:r>
          </w:p>
        </w:tc>
        <w:tc>
          <w:tcPr>
            <w:tcW w:type="dxa" w:w="1728"/>
          </w:tcPr>
          <w:p>
            <w:pPr>
              <w:spacing w:after="40"/>
            </w:pPr>
            <w:r>
              <w:rPr>
                <w:b/>
                <w:sz w:val="18"/>
              </w:rPr>
              <w:t>Harm undefended</w:t>
            </w:r>
          </w:p>
        </w:tc>
        <w:tc>
          <w:tcPr>
            <w:tcW w:type="dxa" w:w="1728"/>
          </w:tcPr>
          <w:p>
            <w:pPr>
              <w:spacing w:after="40"/>
            </w:pPr>
            <w:r>
              <w:rPr>
                <w:b/>
                <w:sz w:val="18"/>
              </w:rPr>
              <w:t>Harm with B13</w:t>
            </w:r>
          </w:p>
        </w:tc>
        <w:tc>
          <w:tcPr>
            <w:tcW w:type="dxa" w:w="1728"/>
          </w:tcPr>
          <w:p>
            <w:pPr>
              <w:spacing w:after="40"/>
            </w:pPr>
            <w:r>
              <w:rPr>
                <w:b/>
                <w:sz w:val="18"/>
              </w:rPr>
              <w:t>p (B13 vs undefended)</w:t>
            </w:r>
          </w:p>
        </w:tc>
      </w:tr>
      <w:tr>
        <w:tc>
          <w:tcPr>
            <w:tcW w:type="dxa" w:w="1728"/>
          </w:tcPr>
          <w:p>
            <w:pPr>
              <w:spacing w:after="40"/>
            </w:pPr>
            <w:r>
              <w:rPr>
                <w:sz w:val="18"/>
              </w:rPr>
              <w:t>J0_current</w:t>
            </w:r>
          </w:p>
        </w:tc>
        <w:tc>
          <w:tcPr>
            <w:tcW w:type="dxa" w:w="1728"/>
          </w:tcPr>
          <w:p>
            <w:pPr>
              <w:spacing w:after="40"/>
            </w:pPr>
            <w:r>
              <w:rPr>
                <w:sz w:val="18"/>
              </w:rPr>
              <w:t>1.7%</w:t>
            </w:r>
          </w:p>
        </w:tc>
        <w:tc>
          <w:tcPr>
            <w:tcW w:type="dxa" w:w="1728"/>
          </w:tcPr>
          <w:p>
            <w:pPr>
              <w:spacing w:after="40"/>
            </w:pPr>
            <w:r>
              <w:rPr>
                <w:sz w:val="18"/>
              </w:rPr>
              <w:t>34.2%</w:t>
            </w:r>
          </w:p>
        </w:tc>
        <w:tc>
          <w:tcPr>
            <w:tcW w:type="dxa" w:w="1728"/>
          </w:tcPr>
          <w:p>
            <w:pPr>
              <w:spacing w:after="40"/>
            </w:pPr>
            <w:r>
              <w:rPr>
                <w:sz w:val="18"/>
              </w:rPr>
              <w:t>5.0%</w:t>
            </w:r>
          </w:p>
        </w:tc>
        <w:tc>
          <w:tcPr>
            <w:tcW w:type="dxa" w:w="1728"/>
          </w:tcPr>
          <w:p>
            <w:pPr>
              <w:spacing w:after="40"/>
            </w:pPr>
            <w:r>
              <w:rPr>
                <w:sz w:val="18"/>
              </w:rPr>
              <w:t>2.8e-09</w:t>
            </w:r>
          </w:p>
        </w:tc>
      </w:tr>
      <w:tr>
        <w:tc>
          <w:tcPr>
            <w:tcW w:type="dxa" w:w="1728"/>
          </w:tcPr>
          <w:p>
            <w:pPr>
              <w:spacing w:after="40"/>
            </w:pPr>
            <w:r>
              <w:rPr>
                <w:sz w:val="18"/>
              </w:rPr>
              <w:t>J2_gemini_original</w:t>
            </w:r>
          </w:p>
        </w:tc>
        <w:tc>
          <w:tcPr>
            <w:tcW w:type="dxa" w:w="1728"/>
          </w:tcPr>
          <w:p>
            <w:pPr>
              <w:spacing w:after="40"/>
            </w:pPr>
            <w:r>
              <w:rPr>
                <w:sz w:val="18"/>
              </w:rPr>
              <w:t>3.3%</w:t>
            </w:r>
          </w:p>
        </w:tc>
        <w:tc>
          <w:tcPr>
            <w:tcW w:type="dxa" w:w="1728"/>
          </w:tcPr>
          <w:p>
            <w:pPr>
              <w:spacing w:after="40"/>
            </w:pPr>
            <w:r>
              <w:rPr>
                <w:sz w:val="18"/>
              </w:rPr>
              <w:t>46.7%</w:t>
            </w:r>
          </w:p>
        </w:tc>
        <w:tc>
          <w:tcPr>
            <w:tcW w:type="dxa" w:w="1728"/>
          </w:tcPr>
          <w:p>
            <w:pPr>
              <w:spacing w:after="40"/>
            </w:pPr>
            <w:r>
              <w:rPr>
                <w:sz w:val="18"/>
              </w:rPr>
              <w:t>8.3%</w:t>
            </w:r>
          </w:p>
        </w:tc>
        <w:tc>
          <w:tcPr>
            <w:tcW w:type="dxa" w:w="1728"/>
          </w:tcPr>
          <w:p>
            <w:pPr>
              <w:spacing w:after="40"/>
            </w:pPr>
            <w:r>
              <w:rPr>
                <w:sz w:val="18"/>
              </w:rPr>
              <w:t>2.8e-14</w:t>
            </w:r>
          </w:p>
        </w:tc>
      </w:tr>
    </w:tbl>
    <w:p>
      <w:pPr>
        <w:spacing w:after="200"/>
      </w:pPr>
      <w:r>
        <w:rPr>
          <w:i/>
          <w:sz w:val="18"/>
        </w:rPr>
        <w:t>Table 19. The harm study re-judged on identical full-text answers by the original judge and by the judge adopted against held-back human labels (J2_gemini_original), on the stratum of families where both judges' coverage is complete (120 items: authority_impersonation, conditional_backdoor, exfiltration_instruction, memory_worm, policy_revocation, preference_hijack). PARTIAL: PARTIAL: the Gemini free-tier daily quota (500 requests) ran out with 166 no-poison verdicts outstanding. Undefended harm is complete on all items; base rate and B13 arms are on the named family stratum only. Complete with `python -m phase17.harm_judge_fix rejudge` after the quota resets. The original judge's figures elsewhere in this document stand as measured. Source: phase17/data/harm_rejudged.json.</w:t>
      </w:r>
    </w:p>
    <w:p>
      <w:pPr>
        <w:spacing w:after="120"/>
      </w:pPr>
      <w:r>
        <w:t>On all 309 instances (complete under both judges), undefended harm is 32.0% under J0_current against 58.3% under J2_gemini_original (paired p=6.1e-18). This is the question the re-measurement exists for: whether harm LEVELS in this document are under-estimates.</w:t>
      </w:r>
    </w:p>
    <w:p>
      <w:pPr>
        <w:spacing w:after="120"/>
      </w:pPr>
      <w:r>
        <w:t>Harm with a stronger agent (gemini-3.5-flash-lite, seeded 100 of the 309 harm-study instances (seed 41); an estimate): undefended 36.0% against qwen's 31.0% on the same items (paired p=0.46); with B13, 14.0% against 13.0%. Task-alone base rate for the stronger agent: 0.0%.</w:t>
      </w:r>
    </w:p>
    <w:p>
      <w:pPr>
        <w:spacing w:after="120"/>
      </w:pPr>
      <w:r>
        <w:t>Extending the stronger-agent framing test to all 120 development items (an extension for precision, not the pre-registered test): gemini-3.5-flash-lite complied 44.2% raw against 11.7% framed (+32.5 points, p=2.2e-10), against qwen's +20.8 on the same items.</w:t>
      </w:r>
    </w:p>
    <w:p>
      <w:pPr>
        <w:spacing w:after="120"/>
      </w:pPr>
      <w:r>
        <w:t>Hold-out 6's causal working subset (complied with the injection in memory and not without it): 294/500, task-alone base rate 33/500. Recall on it: B12 72/294 (24.5%); B13 84/294 (28.6%); B14 201/294 (68.4%); B17 201/294 (68.4%); B18 290/294 (98.6%). Matched-benign false positives are those of Table 17; the full-population and working-subset recalls are both reported.</w:t>
      </w:r>
    </w:p>
    <w:p>
      <w:pPr>
        <w:spacing w:after="120"/>
      </w:pPr>
      <w:r>
        <w:t>The attacks that actually work are HARDER to detect: B12, B13, B14, B17 each catch about 9 points fewer of the working subset than of the full population, so full-population recall overstates protection on this corpus. B18 is the exception only because its deberta rule excludes nearly everything injection-shaped, at 16.3% false positives.</w:t>
      </w:r>
    </w:p>
    <w:p>
      <w:pPr>
        <w:pStyle w:val="Heading2"/>
      </w:pPr>
      <w:r>
        <w:t>12A. Round 7 in One Paragraph</w:t>
      </w:r>
    </w:p>
    <w:p>
      <w:pPr>
        <w:spacing w:after="120"/>
      </w:pPr>
      <w:r>
        <w:t>Round 7 tested this project's own claims against data built to break them. Of 37 pre-registered predictions 31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pStyle w:val="Heading1"/>
      </w:pPr>
      <w:r>
        <w:t>14. Publishability, Against the Two-Sided Standard</w:t>
      </w:r>
    </w:p>
    <w:p>
      <w:pPr>
        <w:spacing w:after="120"/>
      </w:pPr>
      <w:r>
        <w:t>The verdict below is computed by phase17/publishability.py from the artifacts, not written by hand. Each criterion is PASS, FAIL or PENDING; evidence not yet produced is PENDING, never PASS. Publishable requires every criterion to pass and every disqualifier to be clear.</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Criterion</w:t>
            </w:r>
          </w:p>
        </w:tc>
        <w:tc>
          <w:tcPr>
            <w:tcW w:type="dxa" w:w="2880"/>
          </w:tcPr>
          <w:p>
            <w:pPr>
              <w:spacing w:after="40"/>
            </w:pPr>
            <w:r>
              <w:rPr>
                <w:b/>
                <w:sz w:val="18"/>
              </w:rPr>
              <w:t>Status</w:t>
            </w:r>
          </w:p>
        </w:tc>
        <w:tc>
          <w:tcPr>
            <w:tcW w:type="dxa" w:w="2880"/>
          </w:tcPr>
          <w:p>
            <w:pPr>
              <w:spacing w:after="40"/>
            </w:pPr>
            <w:r>
              <w:rPr>
                <w:b/>
                <w:sz w:val="18"/>
              </w:rPr>
              <w:t>Evidence</w:t>
            </w:r>
          </w:p>
        </w:tc>
      </w:tr>
      <w:tr>
        <w:tc>
          <w:tcPr>
            <w:tcW w:type="dxa" w:w="2880"/>
          </w:tcPr>
          <w:p>
            <w:pPr>
              <w:spacing w:after="40"/>
            </w:pPr>
            <w:r>
              <w:rPr>
                <w:sz w:val="18"/>
              </w:rPr>
              <w:t>traceable</w:t>
            </w:r>
          </w:p>
        </w:tc>
        <w:tc>
          <w:tcPr>
            <w:tcW w:type="dxa" w:w="2880"/>
          </w:tcPr>
          <w:p>
            <w:pPr>
              <w:spacing w:after="40"/>
            </w:pPr>
            <w:r>
              <w:rPr>
                <w:sz w:val="18"/>
              </w:rPr>
              <w:t>PASS</w:t>
            </w:r>
          </w:p>
        </w:tc>
        <w:tc>
          <w:tcPr>
            <w:tcW w:type="dxa" w:w="2880"/>
          </w:tcPr>
          <w:p>
            <w:pPr>
              <w:spacing w:after="40"/>
            </w:pPr>
            <w:r>
              <w:rPr>
                <w:sz w:val="18"/>
              </w:rPr>
              <w:t>71 inventory rows; missing artifacts: none</w:t>
            </w:r>
          </w:p>
        </w:tc>
      </w:tr>
      <w:tr>
        <w:tc>
          <w:tcPr>
            <w:tcW w:type="dxa" w:w="2880"/>
          </w:tcPr>
          <w:p>
            <w:pPr>
              <w:spacing w:after="40"/>
            </w:pPr>
            <w:r>
              <w:rPr>
                <w:sz w:val="18"/>
              </w:rPr>
              <w:t>fpr and both denominators</w:t>
            </w:r>
          </w:p>
        </w:tc>
        <w:tc>
          <w:tcPr>
            <w:tcW w:type="dxa" w:w="2880"/>
          </w:tcPr>
          <w:p>
            <w:pPr>
              <w:spacing w:after="40"/>
            </w:pPr>
            <w:r>
              <w:rPr>
                <w:sz w:val="18"/>
              </w:rPr>
              <w:t>PASS</w:t>
            </w:r>
          </w:p>
        </w:tc>
        <w:tc>
          <w:tcPr>
            <w:tcW w:type="dxa" w:w="2880"/>
          </w:tcPr>
          <w:p>
            <w:pPr>
              <w:spacing w:after="40"/>
            </w:pPr>
            <w:r>
              <w:rPr>
                <w:sz w:val="18"/>
              </w:rPr>
              <w:t>holdout4: working=86; holdout5: working=47; holdout6: working=294; holdout7: working=NOT_REPORTABLE</w:t>
            </w:r>
          </w:p>
        </w:tc>
      </w:tr>
      <w:tr>
        <w:tc>
          <w:tcPr>
            <w:tcW w:type="dxa" w:w="2880"/>
          </w:tcPr>
          <w:p>
            <w:pPr>
              <w:spacing w:after="40"/>
            </w:pPr>
            <w:r>
              <w:rPr>
                <w:sz w:val="18"/>
              </w:rPr>
              <w:t>holdout informed labelled</w:t>
            </w:r>
          </w:p>
        </w:tc>
        <w:tc>
          <w:tcPr>
            <w:tcW w:type="dxa" w:w="2880"/>
          </w:tcPr>
          <w:p>
            <w:pPr>
              <w:spacing w:after="40"/>
            </w:pPr>
            <w:r>
              <w:rPr>
                <w:sz w:val="18"/>
              </w:rPr>
              <w:t>PASS</w:t>
            </w:r>
          </w:p>
        </w:tc>
        <w:tc>
          <w:tcPr>
            <w:tcW w:type="dxa" w:w="2880"/>
          </w:tcPr>
          <w:p>
            <w:pPr>
              <w:spacing w:after="40"/>
            </w:pPr>
            <w:r>
              <w:rPr>
                <w:sz w:val="18"/>
              </w:rPr>
              <w:t>superseded/unlabelled claims standing: none</w:t>
            </w:r>
          </w:p>
        </w:tc>
      </w:tr>
      <w:tr>
        <w:tc>
          <w:tcPr>
            <w:tcW w:type="dxa" w:w="2880"/>
          </w:tcPr>
          <w:p>
            <w:pPr>
              <w:spacing w:after="40"/>
            </w:pPr>
            <w:r>
              <w:rPr>
                <w:sz w:val="18"/>
              </w:rPr>
              <w:t>negatives in place</w:t>
            </w:r>
          </w:p>
        </w:tc>
        <w:tc>
          <w:tcPr>
            <w:tcW w:type="dxa" w:w="2880"/>
          </w:tcPr>
          <w:p>
            <w:pPr>
              <w:spacing w:after="40"/>
            </w:pPr>
            <w:r>
              <w:rPr>
                <w:sz w:val="18"/>
              </w:rPr>
              <w:t>PASS</w:t>
            </w:r>
          </w:p>
        </w:tc>
        <w:tc>
          <w:tcPr>
            <w:tcW w:type="dxa" w:w="2880"/>
          </w:tcPr>
          <w:p>
            <w:pPr>
              <w:spacing w:after="40"/>
            </w:pPr>
            <w:r>
              <w:rPr>
                <w:sz w:val="18"/>
              </w:rPr>
              <w:t>31/37 held; failures reported in place: ['H5-3', 'H5-6', 'H5-7', 'H6-6', 'H7-6', 'H7-7']; unscored: none</w:t>
            </w:r>
          </w:p>
        </w:tc>
      </w:tr>
      <w:tr>
        <w:tc>
          <w:tcPr>
            <w:tcW w:type="dxa" w:w="2880"/>
          </w:tcPr>
          <w:p>
            <w:pPr>
              <w:spacing w:after="40"/>
            </w:pPr>
            <w:r>
              <w:rPr>
                <w:sz w:val="18"/>
              </w:rPr>
              <w:t>full suite passes</w:t>
            </w:r>
          </w:p>
        </w:tc>
        <w:tc>
          <w:tcPr>
            <w:tcW w:type="dxa" w:w="2880"/>
          </w:tcPr>
          <w:p>
            <w:pPr>
              <w:spacing w:after="40"/>
            </w:pPr>
            <w:r>
              <w:rPr>
                <w:sz w:val="18"/>
              </w:rPr>
              <w:t>PASS</w:t>
            </w:r>
          </w:p>
        </w:tc>
        <w:tc>
          <w:tcPr>
            <w:tcW w:type="dxa" w:w="2880"/>
          </w:tcPr>
          <w:p>
            <w:pPr>
              <w:spacing w:after="40"/>
            </w:pPr>
            <w:r>
              <w:rPr>
                <w:sz w:val="18"/>
              </w:rPr>
              <w:t>14 phase suites, 3500 tests passed; failing: none</w:t>
            </w:r>
          </w:p>
        </w:tc>
      </w:tr>
      <w:tr>
        <w:tc>
          <w:tcPr>
            <w:tcW w:type="dxa" w:w="2880"/>
          </w:tcPr>
          <w:p>
            <w:pPr>
              <w:spacing w:after="40"/>
            </w:pPr>
            <w:r>
              <w:rPr>
                <w:sz w:val="18"/>
              </w:rPr>
              <w:t>above noise floor</w:t>
            </w:r>
          </w:p>
        </w:tc>
        <w:tc>
          <w:tcPr>
            <w:tcW w:type="dxa" w:w="2880"/>
          </w:tcPr>
          <w:p>
            <w:pPr>
              <w:spacing w:after="40"/>
            </w:pPr>
            <w:r>
              <w:rPr>
                <w:sz w:val="18"/>
              </w:rPr>
              <w:t>PASS</w:t>
            </w:r>
          </w:p>
        </w:tc>
        <w:tc>
          <w:tcPr>
            <w:tcW w:type="dxa" w:w="2880"/>
          </w:tcPr>
          <w:p>
            <w:pPr>
              <w:spacing w:after="40"/>
            </w:pPr>
            <w:r>
              <w:rPr>
                <w:sz w:val="18"/>
              </w:rPr>
              <w:t>provenance reaches memory poisoning (HO4, B13 vs B14 recall): +29.9 vs floor 4.4 (n=157); powered composition (HO6, P2 -&gt; P4 harm): +3.8 vs floor 2.4 (n=500); framing helps a stronger agent (Gemini): +32.5 vs floor 5.0 (n=120)</w:t>
            </w:r>
          </w:p>
        </w:tc>
      </w:tr>
      <w:tr>
        <w:tc>
          <w:tcPr>
            <w:tcW w:type="dxa" w:w="2880"/>
          </w:tcPr>
          <w:p>
            <w:pPr>
              <w:spacing w:after="40"/>
            </w:pPr>
            <w:r>
              <w:rPr>
                <w:sz w:val="18"/>
              </w:rPr>
              <w:t>all measurements complete</w:t>
            </w:r>
          </w:p>
        </w:tc>
        <w:tc>
          <w:tcPr>
            <w:tcW w:type="dxa" w:w="2880"/>
          </w:tcPr>
          <w:p>
            <w:pPr>
              <w:spacing w:after="40"/>
            </w:pPr>
            <w:r>
              <w:rPr>
                <w:sz w:val="18"/>
              </w:rPr>
              <w:t>PENDING</w:t>
            </w:r>
          </w:p>
        </w:tc>
        <w:tc>
          <w:tcPr>
            <w:tcW w:type="dxa" w:w="2880"/>
          </w:tcPr>
          <w:p>
            <w:pPr>
              <w:spacing w:after="40"/>
            </w:pPr>
            <w:r>
              <w:rPr>
                <w:sz w:val="18"/>
              </w:rPr>
              <w:t>partial: ['harm_rejudged.json']</w:t>
            </w:r>
          </w:p>
        </w:tc>
      </w:tr>
      <w:tr>
        <w:tc>
          <w:tcPr>
            <w:tcW w:type="dxa" w:w="2880"/>
          </w:tcPr>
          <w:p>
            <w:pPr>
              <w:spacing w:after="40"/>
            </w:pPr>
            <w:r>
              <w:rPr>
                <w:sz w:val="18"/>
              </w:rPr>
              <w:t>disqualifier clear: unlabelled repeated holdout</w:t>
            </w:r>
          </w:p>
        </w:tc>
        <w:tc>
          <w:tcPr>
            <w:tcW w:type="dxa" w:w="2880"/>
          </w:tcPr>
          <w:p>
            <w:pPr>
              <w:spacing w:after="40"/>
            </w:pPr>
            <w:r>
              <w:rPr>
                <w:sz w:val="18"/>
              </w:rPr>
              <w:t>CLEAR</w:t>
            </w:r>
          </w:p>
        </w:tc>
        <w:tc>
          <w:tcPr>
            <w:tcW w:type="dxa" w:w="2880"/>
          </w:tcPr>
          <w:p>
            <w:pPr>
              <w:spacing w:after="40"/>
            </w:pPr>
            <w:r>
              <w:rPr>
                <w:sz w:val="18"/>
              </w:rPr>
            </w:r>
          </w:p>
        </w:tc>
      </w:tr>
      <w:tr>
        <w:tc>
          <w:tcPr>
            <w:tcW w:type="dxa" w:w="2880"/>
          </w:tcPr>
          <w:p>
            <w:pPr>
              <w:spacing w:after="40"/>
            </w:pPr>
            <w:r>
              <w:rPr>
                <w:sz w:val="18"/>
              </w:rPr>
              <w:t>disqualifier clear: untested family reported untested</w:t>
            </w:r>
          </w:p>
        </w:tc>
        <w:tc>
          <w:tcPr>
            <w:tcW w:type="dxa" w:w="2880"/>
          </w:tcPr>
          <w:p>
            <w:pPr>
              <w:spacing w:after="40"/>
            </w:pPr>
            <w:r>
              <w:rPr>
                <w:sz w:val="18"/>
              </w:rPr>
              <w:t>CLEAR</w:t>
            </w:r>
          </w:p>
        </w:tc>
        <w:tc>
          <w:tcPr>
            <w:tcW w:type="dxa" w:w="2880"/>
          </w:tcPr>
          <w:p>
            <w:pPr>
              <w:spacing w:after="40"/>
            </w:pPr>
            <w:r>
              <w:rPr>
                <w:sz w:val="18"/>
              </w:rPr>
            </w:r>
          </w:p>
        </w:tc>
      </w:tr>
      <w:tr>
        <w:tc>
          <w:tcPr>
            <w:tcW w:type="dxa" w:w="2880"/>
          </w:tcPr>
          <w:p>
            <w:pPr>
              <w:spacing w:after="40"/>
            </w:pPr>
            <w:r>
              <w:rPr>
                <w:sz w:val="18"/>
              </w:rPr>
              <w:t>disqualifier clear: every guard mutation proven</w:t>
            </w:r>
          </w:p>
        </w:tc>
        <w:tc>
          <w:tcPr>
            <w:tcW w:type="dxa" w:w="2880"/>
          </w:tcPr>
          <w:p>
            <w:pPr>
              <w:spacing w:after="40"/>
            </w:pPr>
            <w:r>
              <w:rPr>
                <w:sz w:val="18"/>
              </w:rPr>
              <w:t>CLEAR</w:t>
            </w:r>
          </w:p>
        </w:tc>
        <w:tc>
          <w:tcPr>
            <w:tcW w:type="dxa" w:w="2880"/>
          </w:tcPr>
          <w:p>
            <w:pPr>
              <w:spacing w:after="40"/>
            </w:pPr>
            <w:r>
              <w:rPr>
                <w:sz w:val="18"/>
              </w:rPr>
              <w:t>35/35 proven</w:t>
            </w:r>
          </w:p>
        </w:tc>
      </w:tr>
    </w:tbl>
    <w:p>
      <w:pPr>
        <w:spacing w:after="200"/>
      </w:pPr>
      <w:r>
        <w:rPr>
          <w:i/>
          <w:sz w:val="18"/>
        </w:rPr>
        <w:t>Table 20. Verdict: PENDING. Source: phase17/data/publishability.json.</w:t>
      </w:r>
    </w:p>
    <w:p>
      <w:pPr>
        <w:spacing w:after="120"/>
      </w:pPr>
      <w:r>
        <w:t>Disclosed as PARTIAL, each labelled where it is reported: harm_rejudged.json.</w:t>
      </w:r>
    </w:p>
    <w:p>
      <w:pPr>
        <w:spacing w:after="120"/>
      </w:pPr>
      <w:r>
        <w:t>VERDICT: PENDING. What publishable does not mean: the harm LEVELS rest on an LLM judge that a single annotator found to miss harm (Section 13A), the human check has one annotator, and conditional backdoors remain untested on a clean hold-out. Those limits are stated where the numbers appear; the standard requires them to be visible, not absent.</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r>
        <w:tc>
          <w:tcPr>
            <w:tcW w:type="dxa" w:w="2880"/>
          </w:tcPr>
          <w:p>
            <w:pPr>
              <w:spacing w:after="40"/>
            </w:pPr>
            <w:r>
              <w:rPr>
                <w:sz w:val="18"/>
              </w:rPr>
              <w:t>eval_round7_holdouts.json</w:t>
            </w:r>
          </w:p>
        </w:tc>
        <w:tc>
          <w:tcPr>
            <w:tcW w:type="dxa" w:w="2880"/>
          </w:tcPr>
          <w:p>
            <w:pPr>
              <w:spacing w:after="40"/>
            </w:pPr>
            <w:r>
              <w:rPr>
                <w:sz w:val="18"/>
              </w:rPr>
              <w:t>Hold-outs 4 and 5, scored once</w:t>
            </w:r>
          </w:p>
        </w:tc>
        <w:tc>
          <w:tcPr>
            <w:tcW w:type="dxa" w:w="2880"/>
          </w:tcPr>
          <w:p>
            <w:pPr>
              <w:spacing w:after="40"/>
            </w:pPr>
            <w:r>
              <w:rPr>
                <w:sz w:val="18"/>
              </w:rPr>
              <w:t>yes</w:t>
            </w:r>
          </w:p>
        </w:tc>
      </w:tr>
      <w:tr>
        <w:tc>
          <w:tcPr>
            <w:tcW w:type="dxa" w:w="2880"/>
          </w:tcPr>
          <w:p>
            <w:pPr>
              <w:spacing w:after="40"/>
            </w:pPr>
            <w:r>
              <w:rPr>
                <w:sz w:val="18"/>
              </w:rPr>
              <w:t>eval_round7b_holdouts.json</w:t>
            </w:r>
          </w:p>
        </w:tc>
        <w:tc>
          <w:tcPr>
            <w:tcW w:type="dxa" w:w="2880"/>
          </w:tcPr>
          <w:p>
            <w:pPr>
              <w:spacing w:after="40"/>
            </w:pPr>
            <w:r>
              <w:rPr>
                <w:sz w:val="18"/>
              </w:rPr>
              <w:t>Hold-outs 6 and 7, scored once</w:t>
            </w:r>
          </w:p>
        </w:tc>
        <w:tc>
          <w:tcPr>
            <w:tcW w:type="dxa" w:w="2880"/>
          </w:tcPr>
          <w:p>
            <w:pPr>
              <w:spacing w:after="40"/>
            </w:pPr>
            <w:r>
              <w:rPr>
                <w:sz w:val="18"/>
              </w:rPr>
              <w:t>yes</w:t>
            </w:r>
          </w:p>
        </w:tc>
      </w:tr>
      <w:tr>
        <w:tc>
          <w:tcPr>
            <w:tcW w:type="dxa" w:w="2880"/>
          </w:tcPr>
          <w:p>
            <w:pPr>
              <w:spacing w:after="40"/>
            </w:pPr>
            <w:r>
              <w:rPr>
                <w:sz w:val="18"/>
              </w:rPr>
              <w:t>round7_predictions.json</w:t>
            </w:r>
          </w:p>
        </w:tc>
        <w:tc>
          <w:tcPr>
            <w:tcW w:type="dxa" w:w="2880"/>
          </w:tcPr>
          <w:p>
            <w:pPr>
              <w:spacing w:after="40"/>
            </w:pPr>
            <w:r>
              <w:rPr>
                <w:sz w:val="18"/>
              </w:rPr>
              <w:t>Round-7 pre-registered predictions, scored mechanically</w:t>
            </w:r>
          </w:p>
        </w:tc>
        <w:tc>
          <w:tcPr>
            <w:tcW w:type="dxa" w:w="2880"/>
          </w:tcPr>
          <w:p>
            <w:pPr>
              <w:spacing w:after="40"/>
            </w:pPr>
            <w:r>
              <w:rPr>
                <w:sz w:val="18"/>
              </w:rPr>
              <w:t>yes</w:t>
            </w:r>
          </w:p>
        </w:tc>
      </w:tr>
      <w:tr>
        <w:tc>
          <w:tcPr>
            <w:tcW w:type="dxa" w:w="2880"/>
          </w:tcPr>
          <w:p>
            <w:pPr>
              <w:spacing w:after="40"/>
            </w:pPr>
            <w:r>
              <w:rPr>
                <w:sz w:val="18"/>
              </w:rPr>
              <w:t>neutralise_utility.json</w:t>
            </w:r>
          </w:p>
        </w:tc>
        <w:tc>
          <w:tcPr>
            <w:tcW w:type="dxa" w:w="2880"/>
          </w:tcPr>
          <w:p>
            <w:pPr>
              <w:spacing w:after="40"/>
            </w:pPr>
            <w:r>
              <w:rPr>
                <w:sz w:val="18"/>
              </w:rPr>
              <w:t>Usefulness cost of the frame on benign memories</w:t>
            </w:r>
          </w:p>
        </w:tc>
        <w:tc>
          <w:tcPr>
            <w:tcW w:type="dxa" w:w="2880"/>
          </w:tcPr>
          <w:p>
            <w:pPr>
              <w:spacing w:after="40"/>
            </w:pPr>
            <w:r>
              <w:rPr>
                <w:sz w:val="18"/>
              </w:rPr>
              <w:t>yes</w:t>
            </w:r>
          </w:p>
        </w:tc>
      </w:tr>
      <w:tr>
        <w:tc>
          <w:tcPr>
            <w:tcW w:type="dxa" w:w="2880"/>
          </w:tcPr>
          <w:p>
            <w:pPr>
              <w:spacing w:after="40"/>
            </w:pPr>
            <w:r>
              <w:rPr>
                <w:sz w:val="18"/>
              </w:rPr>
              <w:t>adaptive_round7.json</w:t>
            </w:r>
          </w:p>
        </w:tc>
        <w:tc>
          <w:tcPr>
            <w:tcW w:type="dxa" w:w="2880"/>
          </w:tcPr>
          <w:p>
            <w:pPr>
              <w:spacing w:after="40"/>
            </w:pPr>
            <w:r>
              <w:rPr>
                <w:sz w:val="18"/>
              </w:rPr>
              <w:t>Adaptive attacker against framing and corroboration</w:t>
            </w:r>
          </w:p>
        </w:tc>
        <w:tc>
          <w:tcPr>
            <w:tcW w:type="dxa" w:w="2880"/>
          </w:tcPr>
          <w:p>
            <w:pPr>
              <w:spacing w:after="40"/>
            </w:pPr>
            <w:r>
              <w:rPr>
                <w:sz w:val="18"/>
              </w:rPr>
              <w:t>yes</w:t>
            </w:r>
          </w:p>
        </w:tc>
      </w:tr>
      <w:tr>
        <w:tc>
          <w:tcPr>
            <w:tcW w:type="dxa" w:w="2880"/>
          </w:tcPr>
          <w:p>
            <w:pPr>
              <w:spacing w:after="40"/>
            </w:pPr>
            <w:r>
              <w:rPr>
                <w:sz w:val="18"/>
              </w:rPr>
              <w:t>harm_rejudged.json</w:t>
            </w:r>
          </w:p>
        </w:tc>
        <w:tc>
          <w:tcPr>
            <w:tcW w:type="dxa" w:w="2880"/>
          </w:tcPr>
          <w:p>
            <w:pPr>
              <w:spacing w:after="40"/>
            </w:pPr>
            <w:r>
              <w:rPr>
                <w:sz w:val="18"/>
              </w:rPr>
              <w:t>Harm study re-judged with the adopted judge</w:t>
            </w:r>
          </w:p>
        </w:tc>
        <w:tc>
          <w:tcPr>
            <w:tcW w:type="dxa" w:w="2880"/>
          </w:tcPr>
          <w:p>
            <w:pPr>
              <w:spacing w:after="40"/>
            </w:pPr>
            <w:r>
              <w:rPr>
                <w:sz w:val="18"/>
              </w:rPr>
              <w:t>yes</w:t>
            </w:r>
          </w:p>
        </w:tc>
      </w:tr>
      <w:tr>
        <w:tc>
          <w:tcPr>
            <w:tcW w:type="dxa" w:w="2880"/>
          </w:tcPr>
          <w:p>
            <w:pPr>
              <w:spacing w:after="40"/>
            </w:pPr>
            <w:r>
              <w:rPr>
                <w:sz w:val="18"/>
              </w:rPr>
              <w:t>harm_strong_agent.json</w:t>
            </w:r>
          </w:p>
        </w:tc>
        <w:tc>
          <w:tcPr>
            <w:tcW w:type="dxa" w:w="2880"/>
          </w:tcPr>
          <w:p>
            <w:pPr>
              <w:spacing w:after="40"/>
            </w:pPr>
            <w:r>
              <w:rPr>
                <w:sz w:val="18"/>
              </w:rPr>
              <w:t>Harm with a stronger agent, seeded subset</w:t>
            </w:r>
          </w:p>
        </w:tc>
        <w:tc>
          <w:tcPr>
            <w:tcW w:type="dxa" w:w="2880"/>
          </w:tcPr>
          <w:p>
            <w:pPr>
              <w:spacing w:after="40"/>
            </w:pPr>
            <w:r>
              <w:rPr>
                <w:sz w:val="18"/>
              </w:rPr>
              <w:t>yes</w:t>
            </w:r>
          </w:p>
        </w:tc>
      </w:tr>
      <w:tr>
        <w:tc>
          <w:tcPr>
            <w:tcW w:type="dxa" w:w="2880"/>
          </w:tcPr>
          <w:p>
            <w:pPr>
              <w:spacing w:after="40"/>
            </w:pPr>
            <w:r>
              <w:rPr>
                <w:sz w:val="18"/>
              </w:rPr>
              <w:t>neutralise_strong_agent_n120.json</w:t>
            </w:r>
          </w:p>
        </w:tc>
        <w:tc>
          <w:tcPr>
            <w:tcW w:type="dxa" w:w="2880"/>
          </w:tcPr>
          <w:p>
            <w:pPr>
              <w:spacing w:after="40"/>
            </w:pPr>
            <w:r>
              <w:rPr>
                <w:sz w:val="18"/>
              </w:rPr>
              <w:t>Stronger-agent framing, all 120 dev items</w:t>
            </w:r>
          </w:p>
        </w:tc>
        <w:tc>
          <w:tcPr>
            <w:tcW w:type="dxa" w:w="2880"/>
          </w:tcPr>
          <w:p>
            <w:pPr>
              <w:spacing w:after="40"/>
            </w:pPr>
            <w:r>
              <w:rPr>
                <w:sz w:val="18"/>
              </w:rPr>
              <w:t>yes</w:t>
            </w:r>
          </w:p>
        </w:tc>
      </w:tr>
      <w:tr>
        <w:tc>
          <w:tcPr>
            <w:tcW w:type="dxa" w:w="2880"/>
          </w:tcPr>
          <w:p>
            <w:pPr>
              <w:spacing w:after="40"/>
            </w:pPr>
            <w:r>
              <w:rPr>
                <w:sz w:val="18"/>
              </w:rPr>
              <w:t>holdout6_causal.json</w:t>
            </w:r>
          </w:p>
        </w:tc>
        <w:tc>
          <w:tcPr>
            <w:tcW w:type="dxa" w:w="2880"/>
          </w:tcPr>
          <w:p>
            <w:pPr>
              <w:spacing w:after="40"/>
            </w:pPr>
            <w:r>
              <w:rPr>
                <w:sz w:val="18"/>
              </w:rPr>
              <w:t>Hold-out 6 causal working subset</w:t>
            </w:r>
          </w:p>
        </w:tc>
        <w:tc>
          <w:tcPr>
            <w:tcW w:type="dxa" w:w="2880"/>
          </w:tcPr>
          <w:p>
            <w:pPr>
              <w:spacing w:after="40"/>
            </w:pPr>
            <w:r>
              <w:rPr>
                <w:sz w:val="18"/>
              </w:rPr>
              <w:t>yes</w:t>
            </w:r>
          </w:p>
        </w:tc>
      </w:tr>
      <w:tr>
        <w:tc>
          <w:tcPr>
            <w:tcW w:type="dxa" w:w="2880"/>
          </w:tcPr>
          <w:p>
            <w:pPr>
              <w:spacing w:after="40"/>
            </w:pPr>
            <w:r>
              <w:rPr>
                <w:sz w:val="18"/>
              </w:rPr>
              <w:t>publishability.json</w:t>
            </w:r>
          </w:p>
        </w:tc>
        <w:tc>
          <w:tcPr>
            <w:tcW w:type="dxa" w:w="2880"/>
          </w:tcPr>
          <w:p>
            <w:pPr>
              <w:spacing w:after="40"/>
            </w:pPr>
            <w:r>
              <w:rPr>
                <w:sz w:val="18"/>
              </w:rPr>
              <w:t>The computed publishability verdict</w:t>
            </w:r>
          </w:p>
        </w:tc>
        <w:tc>
          <w:tcPr>
            <w:tcW w:type="dxa" w:w="2880"/>
          </w:tcPr>
          <w:p>
            <w:pPr>
              <w:spacing w:after="40"/>
            </w:pPr>
            <w:r>
              <w:rPr>
                <w:sz w:val="18"/>
              </w:rPr>
              <w:t>yes</w:t>
            </w:r>
          </w:p>
        </w:tc>
      </w:tr>
      <w:tr>
        <w:tc>
          <w:tcPr>
            <w:tcW w:type="dxa" w:w="2880"/>
          </w:tcPr>
          <w:p>
            <w:pPr>
              <w:spacing w:after="40"/>
            </w:pPr>
            <w:r>
              <w:rPr>
                <w:sz w:val="18"/>
              </w:rPr>
              <w:t>adaptive_ledger_exploratory.json</w:t>
            </w:r>
          </w:p>
        </w:tc>
        <w:tc>
          <w:tcPr>
            <w:tcW w:type="dxa" w:w="2880"/>
          </w:tcPr>
          <w:p>
            <w:pPr>
              <w:spacing w:after="40"/>
            </w:pPr>
            <w:r>
              <w:rPr>
                <w:sz w:val="18"/>
              </w:rPr>
              <w:t>EXPLORATORY: would the ledger block the adaptive evasions</w:t>
            </w:r>
          </w:p>
        </w:tc>
        <w:tc>
          <w:tcPr>
            <w:tcW w:type="dxa" w:w="2880"/>
          </w:tcPr>
          <w:p>
            <w:pPr>
              <w:spacing w:after="40"/>
            </w:pPr>
            <w:r>
              <w:rPr>
                <w:sz w:val="18"/>
              </w:rPr>
              <w:t>yes</w:t>
            </w:r>
          </w:p>
        </w:tc>
      </w:tr>
      <w:tr>
        <w:tc>
          <w:tcPr>
            <w:tcW w:type="dxa" w:w="2880"/>
          </w:tcPr>
          <w:p>
            <w:pPr>
              <w:spacing w:after="40"/>
            </w:pPr>
            <w:r>
              <w:rPr>
                <w:sz w:val="18"/>
              </w:rPr>
              <w:t>adaptive_ledger_b13.json</w:t>
            </w:r>
          </w:p>
        </w:tc>
        <w:tc>
          <w:tcPr>
            <w:tcW w:type="dxa" w:w="2880"/>
          </w:tcPr>
          <w:p>
            <w:pPr>
              <w:spacing w:after="40"/>
            </w:pPr>
            <w:r>
              <w:rPr>
                <w:sz w:val="18"/>
              </w:rPr>
              <w:t>Ledger composed with corroboration, adaptive attacker (addendum 4)</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