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two new corpora scored once each under predictions committed in advance (29/35 held). On the first memory-poisoning hold-out -- a new author family writing about a new owner -- provenance-aware admission reaches 50.3% against 20.4% for the fused content classifier and near zero for every published detector.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was taken as the noise floor, and no difference smaller than that is claimed anywhere in this document.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w:t>
            </w:r>
          </w:p>
        </w:tc>
        <w:tc>
          <w:tcPr>
            <w:tcW w:type="dxa" w:w="1728"/>
          </w:tcPr>
          <w:p>
            <w:pPr>
              <w:spacing w:after="40"/>
            </w:pPr>
            <w:r>
              <w:rPr>
                <w:sz w:val="18"/>
              </w:rPr>
              <w:t>64.4%</w:t>
            </w:r>
          </w:p>
        </w:tc>
        <w:tc>
          <w:tcPr>
            <w:tcW w:type="dxa" w:w="1728"/>
          </w:tcPr>
          <w:p>
            <w:pPr>
              <w:spacing w:after="40"/>
            </w:pPr>
            <w:r>
              <w:rPr>
                <w:sz w:val="18"/>
              </w:rPr>
              <w:t>-</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w:t>
            </w:r>
          </w:p>
        </w:tc>
        <w:tc>
          <w:tcPr>
            <w:tcW w:type="dxa" w:w="1728"/>
          </w:tcPr>
          <w:p>
            <w:pPr>
              <w:spacing w:after="40"/>
            </w:pPr>
            <w:r>
              <w:rPr>
                <w:sz w:val="18"/>
              </w:rPr>
              <w:t>64.6%</w:t>
            </w:r>
          </w:p>
        </w:tc>
        <w:tc>
          <w:tcPr>
            <w:tcW w:type="dxa" w:w="1728"/>
          </w:tcPr>
          <w:p>
            <w:pPr>
              <w:spacing w:after="40"/>
            </w:pPr>
            <w:r>
              <w:rPr>
                <w:sz w:val="18"/>
              </w:rPr>
              <w:t>-</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after="40"/>
            </w:pPr>
            <w:r>
              <w:rPr>
                <w:b/>
                <w:sz w:val="18"/>
              </w:rPr>
              <w:t>Group</w:t>
            </w:r>
          </w:p>
        </w:tc>
        <w:tc>
          <w:tcPr>
            <w:tcW w:type="dxa" w:w="960"/>
          </w:tcPr>
          <w:p>
            <w:pPr>
              <w:spacing w:after="40"/>
            </w:pPr>
            <w:r>
              <w:rPr>
                <w:b/>
                <w:sz w:val="18"/>
              </w:rPr>
              <w:t>B13</w:t>
            </w:r>
          </w:p>
        </w:tc>
        <w:tc>
          <w:tcPr>
            <w:tcW w:type="dxa" w:w="960"/>
          </w:tcPr>
          <w:p>
            <w:pPr>
              <w:spacing w:after="40"/>
            </w:pPr>
            <w:r>
              <w:rPr>
                <w:b/>
                <w:sz w:val="18"/>
              </w:rPr>
              <w:t>B14</w:t>
            </w:r>
          </w:p>
        </w:tc>
        <w:tc>
          <w:tcPr>
            <w:tcW w:type="dxa" w:w="960"/>
          </w:tcPr>
          <w:p>
            <w:pPr>
              <w:spacing w:after="40"/>
            </w:pPr>
            <w:r>
              <w:rPr>
                <w:b/>
                <w:sz w:val="18"/>
              </w:rPr>
              <w:t>B15</w:t>
            </w:r>
          </w:p>
        </w:tc>
        <w:tc>
          <w:tcPr>
            <w:tcW w:type="dxa" w:w="960"/>
          </w:tcPr>
          <w:p>
            <w:pPr>
              <w:spacing w:after="40"/>
            </w:pPr>
            <w:r>
              <w:rPr>
                <w:b/>
                <w:sz w:val="18"/>
              </w:rPr>
              <w:t>B17</w:t>
            </w:r>
          </w:p>
        </w:tc>
        <w:tc>
          <w:tcPr>
            <w:tcW w:type="dxa" w:w="960"/>
          </w:tcPr>
          <w:p>
            <w:pPr>
              <w:spacing w:after="40"/>
            </w:pPr>
            <w:r>
              <w:rPr>
                <w:b/>
                <w:sz w:val="18"/>
              </w:rPr>
              <w:t>deberta</w:t>
            </w:r>
          </w:p>
        </w:tc>
        <w:tc>
          <w:tcPr>
            <w:tcW w:type="dxa" w:w="960"/>
          </w:tcPr>
          <w:p>
            <w:pPr>
              <w:spacing w:after="40"/>
            </w:pPr>
            <w:r>
              <w:rPr>
                <w:b/>
                <w:sz w:val="18"/>
              </w:rPr>
              <w:t>Llama Guard 3</w:t>
            </w:r>
          </w:p>
        </w:tc>
        <w:tc>
          <w:tcPr>
            <w:tcW w:type="dxa" w:w="960"/>
          </w:tcPr>
          <w:p>
            <w:pPr>
              <w:spacing w:after="40"/>
            </w:pPr>
            <w:r>
              <w:rPr>
                <w:b/>
                <w:sz w:val="18"/>
              </w:rPr>
              <w:t>LLM prompt (llama3.1)</w:t>
            </w:r>
          </w:p>
        </w:tc>
        <w:tc>
          <w:tcPr>
            <w:tcW w:type="dxa" w:w="960"/>
          </w:tcPr>
          <w:p>
            <w:pPr>
              <w:spacing w:after="40"/>
            </w:pPr>
            <w:r>
              <w:rPr>
                <w:b/>
                <w:sz w:val="18"/>
              </w:rPr>
              <w:t>GPT-2 perplexity</w:t>
            </w:r>
          </w:p>
        </w:tc>
      </w:tr>
      <w:tr>
        <w:tc>
          <w:tcPr>
            <w:tcW w:type="dxa" w:w="960"/>
          </w:tcPr>
          <w:p>
            <w:pPr>
              <w:spacing w:after="40"/>
            </w:pPr>
            <w:r>
              <w:rPr>
                <w:sz w:val="18"/>
              </w:rPr>
              <w:t>Own memory-poisoning attacks (804)</w:t>
            </w:r>
          </w:p>
        </w:tc>
        <w:tc>
          <w:tcPr>
            <w:tcW w:type="dxa" w:w="960"/>
          </w:tcPr>
          <w:p>
            <w:pPr>
              <w:spacing w:after="40"/>
            </w:pPr>
            <w:r>
              <w:rPr>
                <w:sz w:val="18"/>
              </w:rPr>
              <w:t>46.1%</w:t>
            </w:r>
          </w:p>
        </w:tc>
        <w:tc>
          <w:tcPr>
            <w:tcW w:type="dxa" w:w="960"/>
          </w:tcPr>
          <w:p>
            <w:pPr>
              <w:spacing w:after="40"/>
            </w:pPr>
            <w:r>
              <w:rPr>
                <w:sz w:val="18"/>
              </w:rPr>
              <w:t>41.2%</w:t>
            </w:r>
          </w:p>
        </w:tc>
        <w:tc>
          <w:tcPr>
            <w:tcW w:type="dxa" w:w="960"/>
          </w:tcPr>
          <w:p>
            <w:pPr>
              <w:spacing w:after="40"/>
            </w:pPr>
            <w:r>
              <w:rPr>
                <w:sz w:val="18"/>
              </w:rPr>
              <w:t>37.7%</w:t>
            </w:r>
          </w:p>
        </w:tc>
        <w:tc>
          <w:tcPr>
            <w:tcW w:type="dxa" w:w="960"/>
          </w:tcPr>
          <w:p>
            <w:pPr>
              <w:spacing w:after="40"/>
            </w:pPr>
            <w:r>
              <w:rPr>
                <w:sz w:val="18"/>
              </w:rPr>
              <w:t>51.2%</w:t>
            </w:r>
          </w:p>
        </w:tc>
        <w:tc>
          <w:tcPr>
            <w:tcW w:type="dxa" w:w="960"/>
          </w:tcPr>
          <w:p>
            <w:pPr>
              <w:spacing w:after="40"/>
            </w:pPr>
            <w:r>
              <w:rPr>
                <w:sz w:val="18"/>
              </w:rPr>
              <w:t>14.1%</w:t>
            </w:r>
          </w:p>
        </w:tc>
        <w:tc>
          <w:tcPr>
            <w:tcW w:type="dxa" w:w="960"/>
          </w:tcPr>
          <w:p>
            <w:pPr>
              <w:spacing w:after="40"/>
            </w:pPr>
            <w:r>
              <w:rPr>
                <w:sz w:val="18"/>
              </w:rPr>
              <w:t>12.9%</w:t>
            </w:r>
          </w:p>
        </w:tc>
        <w:tc>
          <w:tcPr>
            <w:tcW w:type="dxa" w:w="960"/>
          </w:tcPr>
          <w:p>
            <w:pPr>
              <w:spacing w:after="40"/>
            </w:pPr>
            <w:r>
              <w:rPr>
                <w:sz w:val="18"/>
              </w:rPr>
              <w:t>11.7%</w:t>
            </w:r>
          </w:p>
        </w:tc>
        <w:tc>
          <w:tcPr>
            <w:tcW w:type="dxa" w:w="960"/>
          </w:tcPr>
          <w:p>
            <w:pPr>
              <w:spacing w:after="40"/>
            </w:pPr>
            <w:r>
              <w:rPr>
                <w:sz w:val="18"/>
              </w:rPr>
              <w:t>6.7%</w:t>
            </w:r>
          </w:p>
        </w:tc>
      </w:tr>
      <w:tr>
        <w:tc>
          <w:tcPr>
            <w:tcW w:type="dxa" w:w="960"/>
          </w:tcPr>
          <w:p>
            <w:pPr>
              <w:spacing w:after="40"/>
            </w:pPr>
            <w:r>
              <w:rPr>
                <w:sz w:val="18"/>
              </w:rPr>
              <w:t>External injection corpora (2,724)</w:t>
            </w:r>
          </w:p>
        </w:tc>
        <w:tc>
          <w:tcPr>
            <w:tcW w:type="dxa" w:w="960"/>
          </w:tcPr>
          <w:p>
            <w:pPr>
              <w:spacing w:after="40"/>
            </w:pPr>
            <w:r>
              <w:rPr>
                <w:sz w:val="18"/>
              </w:rPr>
              <w:t>44.4%</w:t>
            </w:r>
          </w:p>
        </w:tc>
        <w:tc>
          <w:tcPr>
            <w:tcW w:type="dxa" w:w="960"/>
          </w:tcPr>
          <w:p>
            <w:pPr>
              <w:spacing w:after="40"/>
            </w:pPr>
            <w:r>
              <w:rPr>
                <w:sz w:val="18"/>
              </w:rPr>
              <w:t>71.0%</w:t>
            </w:r>
          </w:p>
        </w:tc>
        <w:tc>
          <w:tcPr>
            <w:tcW w:type="dxa" w:w="960"/>
          </w:tcPr>
          <w:p>
            <w:pPr>
              <w:spacing w:after="40"/>
            </w:pPr>
            <w:r>
              <w:rPr>
                <w:sz w:val="18"/>
              </w:rPr>
              <w:t>63.4%</w:t>
            </w:r>
          </w:p>
        </w:tc>
        <w:tc>
          <w:tcPr>
            <w:tcW w:type="dxa" w:w="960"/>
          </w:tcPr>
          <w:p>
            <w:pPr>
              <w:spacing w:after="40"/>
            </w:pPr>
            <w:r>
              <w:rPr>
                <w:sz w:val="18"/>
              </w:rPr>
              <w:t>71.3%</w:t>
            </w:r>
          </w:p>
        </w:tc>
        <w:tc>
          <w:tcPr>
            <w:tcW w:type="dxa" w:w="960"/>
          </w:tcPr>
          <w:p>
            <w:pPr>
              <w:spacing w:after="40"/>
            </w:pPr>
            <w:r>
              <w:rPr>
                <w:sz w:val="18"/>
              </w:rPr>
              <w:t>70.4%</w:t>
            </w:r>
          </w:p>
        </w:tc>
        <w:tc>
          <w:tcPr>
            <w:tcW w:type="dxa" w:w="960"/>
          </w:tcPr>
          <w:p>
            <w:pPr>
              <w:spacing w:after="40"/>
            </w:pPr>
            <w:r>
              <w:rPr>
                <w:sz w:val="18"/>
              </w:rPr>
              <w:t>28.2%</w:t>
            </w:r>
          </w:p>
        </w:tc>
        <w:tc>
          <w:tcPr>
            <w:tcW w:type="dxa" w:w="960"/>
          </w:tcPr>
          <w:p>
            <w:pPr>
              <w:spacing w:after="40"/>
            </w:pPr>
            <w:r>
              <w:rPr>
                <w:sz w:val="18"/>
              </w:rPr>
              <w:t>24.4%</w:t>
            </w:r>
          </w:p>
        </w:tc>
        <w:tc>
          <w:tcPr>
            <w:tcW w:type="dxa" w:w="960"/>
          </w:tcPr>
          <w:p>
            <w:pPr>
              <w:spacing w:after="40"/>
            </w:pPr>
            <w:r>
              <w:rPr>
                <w:sz w:val="18"/>
              </w:rPr>
              <w:t>29.6%</w:t>
            </w:r>
          </w:p>
        </w:tc>
      </w:tr>
      <w:tr>
        <w:tc>
          <w:tcPr>
            <w:tcW w:type="dxa" w:w="960"/>
          </w:tcPr>
          <w:p>
            <w:pPr>
              <w:spacing w:after="40"/>
            </w:pPr>
            <w:r>
              <w:rPr>
                <w:sz w:val="18"/>
              </w:rPr>
              <w:t>Ordinary-benign false positives (1,088)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8/1088</w:t>
            </w:r>
          </w:p>
        </w:tc>
        <w:tc>
          <w:tcPr>
            <w:tcW w:type="dxa" w:w="960"/>
          </w:tcPr>
          <w:p>
            <w:pPr>
              <w:spacing w:after="40"/>
            </w:pPr>
            <w:r>
              <w:rPr>
                <w:sz w:val="18"/>
              </w:rPr>
              <w:t>23/1088</w:t>
            </w:r>
          </w:p>
        </w:tc>
        <w:tc>
          <w:tcPr>
            <w:tcW w:type="dxa" w:w="960"/>
          </w:tcPr>
          <w:p>
            <w:pPr>
              <w:spacing w:after="40"/>
            </w:pPr>
            <w:r>
              <w:rPr>
                <w:sz w:val="18"/>
              </w:rPr>
              <w:t>6/1088</w:t>
            </w:r>
          </w:p>
        </w:tc>
        <w:tc>
          <w:tcPr>
            <w:tcW w:type="dxa" w:w="960"/>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4.9% of the user's own words on hold-out 7,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harm REDUCTIONS are more robust because both arms share a judge; detection and false-positive results use no judge at all.</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17.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w:t>
            </w:r>
          </w:p>
        </w:tc>
        <w:tc>
          <w:tcPr>
            <w:tcW w:type="dxa" w:w="2880"/>
          </w:tcPr>
          <w:p>
            <w:pPr>
              <w:spacing w:after="40"/>
            </w:pPr>
            <w:r>
              <w:rPr>
                <w:b/>
                <w:sz w:val="18"/>
              </w:rPr>
              <w:t>Outcome</w:t>
            </w:r>
          </w:p>
        </w:tc>
        <w:tc>
          <w:tcPr>
            <w:tcW w:type="dxa" w:w="2880"/>
          </w:tcPr>
          <w:p>
            <w:pPr>
              <w:spacing w:after="40"/>
            </w:pPr>
            <w:r>
              <w:rPr>
                <w:b/>
                <w:sz w:val="18"/>
              </w:rPr>
              <w:t>Measured</w:t>
            </w:r>
          </w:p>
        </w:tc>
      </w:tr>
      <w:tr>
        <w:tc>
          <w:tcPr>
            <w:tcW w:type="dxa" w:w="2880"/>
          </w:tcPr>
          <w:p>
            <w:pPr>
              <w:spacing w:after="40"/>
            </w:pPr>
            <w:r>
              <w:rPr>
                <w:sz w:val="18"/>
              </w:rPr>
              <w:t>H5-1: B17 matched-benign FPR in 2-12%</w:t>
            </w:r>
          </w:p>
        </w:tc>
        <w:tc>
          <w:tcPr>
            <w:tcW w:type="dxa" w:w="2880"/>
          </w:tcPr>
          <w:p>
            <w:pPr>
              <w:spacing w:after="40"/>
            </w:pPr>
            <w:r>
              <w:rPr>
                <w:sz w:val="18"/>
              </w:rPr>
              <w:t>HELD</w:t>
            </w:r>
          </w:p>
        </w:tc>
        <w:tc>
          <w:tcPr>
            <w:tcW w:type="dxa" w:w="2880"/>
          </w:tcPr>
          <w:p>
            <w:pPr>
              <w:spacing w:after="40"/>
            </w:pPr>
            <w:r>
              <w:rPr>
                <w:sz w:val="18"/>
              </w:rPr>
              <w:t>10.2%</w:t>
            </w:r>
          </w:p>
        </w:tc>
      </w:tr>
      <w:tr>
        <w:tc>
          <w:tcPr>
            <w:tcW w:type="dxa" w:w="2880"/>
          </w:tcPr>
          <w:p>
            <w:pPr>
              <w:spacing w:after="40"/>
            </w:pPr>
            <w:r>
              <w:rPr>
                <w:sz w:val="18"/>
              </w:rPr>
              <w:t>H5-2: B13 matched-benign FPR in 0.5-6%</w:t>
            </w:r>
          </w:p>
        </w:tc>
        <w:tc>
          <w:tcPr>
            <w:tcW w:type="dxa" w:w="2880"/>
          </w:tcPr>
          <w:p>
            <w:pPr>
              <w:spacing w:after="40"/>
            </w:pPr>
            <w:r>
              <w:rPr>
                <w:sz w:val="18"/>
              </w:rPr>
              <w:t>HELD</w:t>
            </w:r>
          </w:p>
        </w:tc>
        <w:tc>
          <w:tcPr>
            <w:tcW w:type="dxa" w:w="2880"/>
          </w:tcPr>
          <w:p>
            <w:pPr>
              <w:spacing w:after="40"/>
            </w:pPr>
            <w:r>
              <w:rPr>
                <w:sz w:val="18"/>
              </w:rPr>
              <w:t>5.1%</w:t>
            </w:r>
          </w:p>
        </w:tc>
      </w:tr>
      <w:tr>
        <w:tc>
          <w:tcPr>
            <w:tcW w:type="dxa" w:w="2880"/>
          </w:tcPr>
          <w:p>
            <w:pPr>
              <w:spacing w:after="40"/>
            </w:pPr>
            <w:r>
              <w:rPr>
                <w:sz w:val="18"/>
              </w:rPr>
              <w:t>H5-3: B18 recall in 55-90%</w:t>
            </w:r>
          </w:p>
        </w:tc>
        <w:tc>
          <w:tcPr>
            <w:tcW w:type="dxa" w:w="2880"/>
          </w:tcPr>
          <w:p>
            <w:pPr>
              <w:spacing w:after="40"/>
            </w:pPr>
            <w:r>
              <w:rPr>
                <w:sz w:val="18"/>
              </w:rPr>
              <w:t>FAILED</w:t>
            </w:r>
          </w:p>
        </w:tc>
        <w:tc>
          <w:tcPr>
            <w:tcW w:type="dxa" w:w="2880"/>
          </w:tcPr>
          <w:p>
            <w:pPr>
              <w:spacing w:after="40"/>
            </w:pPr>
            <w:r>
              <w:rPr>
                <w:sz w:val="18"/>
              </w:rPr>
              <w:t>90.1%</w:t>
            </w:r>
          </w:p>
        </w:tc>
      </w:tr>
      <w:tr>
        <w:tc>
          <w:tcPr>
            <w:tcW w:type="dxa" w:w="2880"/>
          </w:tcPr>
          <w:p>
            <w:pPr>
              <w:spacing w:after="40"/>
            </w:pPr>
            <w:r>
              <w:rPr>
                <w:sz w:val="18"/>
              </w:rPr>
              <w:t>H5-4: B18 recall &gt;= B17</w:t>
            </w:r>
          </w:p>
        </w:tc>
        <w:tc>
          <w:tcPr>
            <w:tcW w:type="dxa" w:w="2880"/>
          </w:tcPr>
          <w:p>
            <w:pPr>
              <w:spacing w:after="40"/>
            </w:pPr>
            <w:r>
              <w:rPr>
                <w:sz w:val="18"/>
              </w:rPr>
              <w:t>HELD</w:t>
            </w:r>
          </w:p>
        </w:tc>
        <w:tc>
          <w:tcPr>
            <w:tcW w:type="dxa" w:w="2880"/>
          </w:tcPr>
          <w:p>
            <w:pPr>
              <w:spacing w:after="40"/>
            </w:pPr>
            <w:r>
              <w:rPr>
                <w:sz w:val="18"/>
              </w:rPr>
              <w:t>90.1% vs 90.1%</w:t>
            </w:r>
          </w:p>
        </w:tc>
      </w:tr>
      <w:tr>
        <w:tc>
          <w:tcPr>
            <w:tcW w:type="dxa" w:w="2880"/>
          </w:tcPr>
          <w:p>
            <w:pPr>
              <w:spacing w:after="40"/>
            </w:pPr>
            <w:r>
              <w:rPr>
                <w:sz w:val="18"/>
              </w:rPr>
              <w:t>H5-5: P1 cuts compliance vs P0, p&lt;0.05</w:t>
            </w:r>
          </w:p>
        </w:tc>
        <w:tc>
          <w:tcPr>
            <w:tcW w:type="dxa" w:w="2880"/>
          </w:tcPr>
          <w:p>
            <w:pPr>
              <w:spacing w:after="40"/>
            </w:pPr>
            <w:r>
              <w:rPr>
                <w:sz w:val="18"/>
              </w:rPr>
              <w:t>HELD</w:t>
            </w:r>
          </w:p>
        </w:tc>
        <w:tc>
          <w:tcPr>
            <w:tcW w:type="dxa" w:w="2880"/>
          </w:tcPr>
          <w:p>
            <w:pPr>
              <w:spacing w:after="40"/>
            </w:pPr>
            <w:r>
              <w:rPr>
                <w:sz w:val="18"/>
              </w:rPr>
              <w:t>37.4% -&gt; 18.3%, p=2.2e-05</w:t>
            </w:r>
          </w:p>
        </w:tc>
      </w:tr>
      <w:tr>
        <w:tc>
          <w:tcPr>
            <w:tcW w:type="dxa" w:w="2880"/>
          </w:tcPr>
          <w:p>
            <w:pPr>
              <w:spacing w:after="40"/>
            </w:pPr>
            <w:r>
              <w:rPr>
                <w:sz w:val="18"/>
              </w:rPr>
              <w:t>H5-6: PRIMARY: P4(B12) harm &lt; P2(B12) harm, p&lt;0.05</w:t>
            </w:r>
          </w:p>
        </w:tc>
        <w:tc>
          <w:tcPr>
            <w:tcW w:type="dxa" w:w="2880"/>
          </w:tcPr>
          <w:p>
            <w:pPr>
              <w:spacing w:after="40"/>
            </w:pPr>
            <w:r>
              <w:rPr>
                <w:sz w:val="18"/>
              </w:rPr>
              <w:t>FAILED</w:t>
            </w:r>
          </w:p>
        </w:tc>
        <w:tc>
          <w:tcPr>
            <w:tcW w:type="dxa" w:w="2880"/>
          </w:tcPr>
          <w:p>
            <w:pPr>
              <w:spacing w:after="40"/>
            </w:pPr>
            <w:r>
              <w:rPr>
                <w:sz w:val="18"/>
              </w:rPr>
              <w:t>20 -&gt; 15 of 131, p=0.23</w:t>
            </w:r>
          </w:p>
        </w:tc>
      </w:tr>
      <w:tr>
        <w:tc>
          <w:tcPr>
            <w:tcW w:type="dxa" w:w="2880"/>
          </w:tcPr>
          <w:p>
            <w:pPr>
              <w:spacing w:after="40"/>
            </w:pPr>
            <w:r>
              <w:rPr>
                <w:sz w:val="18"/>
              </w:rPr>
              <w:t>H5-7: P4(B12) harm &lt;= P2(B18) harm at lower benign exclusion</w:t>
            </w:r>
          </w:p>
        </w:tc>
        <w:tc>
          <w:tcPr>
            <w:tcW w:type="dxa" w:w="2880"/>
          </w:tcPr>
          <w:p>
            <w:pPr>
              <w:spacing w:after="40"/>
            </w:pPr>
            <w:r>
              <w:rPr>
                <w:sz w:val="18"/>
              </w:rPr>
              <w:t>FAILED</w:t>
            </w:r>
          </w:p>
        </w:tc>
        <w:tc>
          <w:tcPr>
            <w:tcW w:type="dxa" w:w="2880"/>
          </w:tcPr>
          <w:p>
            <w:pPr>
              <w:spacing w:after="40"/>
            </w:pPr>
            <w:r>
              <w:rPr>
                <w:sz w:val="18"/>
              </w:rPr>
              <w:t>P4(B12) 11.5% at 2.6% excluded; P2(B18) 4.6% at 11.0%</w:t>
            </w:r>
          </w:p>
        </w:tc>
      </w:tr>
      <w:tr>
        <w:tc>
          <w:tcPr>
            <w:tcW w:type="dxa" w:w="2880"/>
          </w:tcPr>
          <w:p>
            <w:pPr>
              <w:spacing w:after="40"/>
            </w:pPr>
            <w:r>
              <w:rPr>
                <w:sz w:val="18"/>
              </w:rPr>
              <w:t>H5-8: P4(B18) vs P2(B18) -- descriptive only (refused by require_power)</w:t>
            </w:r>
          </w:p>
        </w:tc>
        <w:tc>
          <w:tcPr>
            <w:tcW w:type="dxa" w:w="2880"/>
          </w:tcPr>
          <w:p>
            <w:pPr>
              <w:spacing w:after="40"/>
            </w:pPr>
            <w:r>
              <w:rPr>
                <w:sz w:val="18"/>
              </w:rPr>
              <w:t>DESCRIPTIVE</w:t>
            </w:r>
          </w:p>
        </w:tc>
        <w:tc>
          <w:tcPr>
            <w:tcW w:type="dxa" w:w="2880"/>
          </w:tcPr>
          <w:p>
            <w:pPr>
              <w:spacing w:after="40"/>
            </w:pPr>
            <w:r>
              <w:rPr>
                <w:sz w:val="18"/>
              </w:rPr>
              <w:t>6 -&gt; 4; paired {'n': 131, 'detected_a': 4, 'detected_b': 6, 'only_a': 1, 'only_b': 3, 'p_exact': 0.625}</w:t>
            </w:r>
          </w:p>
        </w:tc>
      </w:tr>
      <w:tr>
        <w:tc>
          <w:tcPr>
            <w:tcW w:type="dxa" w:w="2880"/>
          </w:tcPr>
          <w:p>
            <w:pPr>
              <w:spacing w:after="40"/>
            </w:pPr>
            <w:r>
              <w:rPr>
                <w:sz w:val="18"/>
              </w:rPr>
              <w:t>H4-1: B13 recall (evidence) in 35-70%</w:t>
            </w:r>
          </w:p>
        </w:tc>
        <w:tc>
          <w:tcPr>
            <w:tcW w:type="dxa" w:w="2880"/>
          </w:tcPr>
          <w:p>
            <w:pPr>
              <w:spacing w:after="40"/>
            </w:pPr>
            <w:r>
              <w:rPr>
                <w:sz w:val="18"/>
              </w:rPr>
              <w:t>HELD</w:t>
            </w:r>
          </w:p>
        </w:tc>
        <w:tc>
          <w:tcPr>
            <w:tcW w:type="dxa" w:w="2880"/>
          </w:tcPr>
          <w:p>
            <w:pPr>
              <w:spacing w:after="40"/>
            </w:pPr>
            <w:r>
              <w:rPr>
                <w:sz w:val="18"/>
              </w:rPr>
              <w:t>50.3%</w:t>
            </w:r>
          </w:p>
        </w:tc>
      </w:tr>
      <w:tr>
        <w:tc>
          <w:tcPr>
            <w:tcW w:type="dxa" w:w="2880"/>
          </w:tcPr>
          <w:p>
            <w:pPr>
              <w:spacing w:after="40"/>
            </w:pPr>
            <w:r>
              <w:rPr>
                <w:sz w:val="18"/>
              </w:rPr>
              <w:t>H4-2: B13 recall &gt; B14, p&lt;0.05</w:t>
            </w:r>
          </w:p>
        </w:tc>
        <w:tc>
          <w:tcPr>
            <w:tcW w:type="dxa" w:w="2880"/>
          </w:tcPr>
          <w:p>
            <w:pPr>
              <w:spacing w:after="40"/>
            </w:pPr>
            <w:r>
              <w:rPr>
                <w:sz w:val="18"/>
              </w:rPr>
              <w:t>HELD</w:t>
            </w:r>
          </w:p>
        </w:tc>
        <w:tc>
          <w:tcPr>
            <w:tcW w:type="dxa" w:w="2880"/>
          </w:tcPr>
          <w:p>
            <w:pPr>
              <w:spacing w:after="40"/>
            </w:pPr>
            <w:r>
              <w:rPr>
                <w:sz w:val="18"/>
              </w:rPr>
              <w:t>50.3% vs 20.4%, p=1.4e-14</w:t>
            </w:r>
          </w:p>
        </w:tc>
      </w:tr>
      <w:tr>
        <w:tc>
          <w:tcPr>
            <w:tcW w:type="dxa" w:w="2880"/>
          </w:tcPr>
          <w:p>
            <w:pPr>
              <w:spacing w:after="40"/>
            </w:pPr>
            <w:r>
              <w:rPr>
                <w:sz w:val="18"/>
              </w:rPr>
              <w:t>H4-3: B18 - B13 in 0..+12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H4-4: deberta@dev and llama_guard@dev recall &lt;= 20%</w:t>
            </w:r>
          </w:p>
        </w:tc>
        <w:tc>
          <w:tcPr>
            <w:tcW w:type="dxa" w:w="2880"/>
          </w:tcPr>
          <w:p>
            <w:pPr>
              <w:spacing w:after="40"/>
            </w:pPr>
            <w:r>
              <w:rPr>
                <w:sz w:val="18"/>
              </w:rPr>
              <w:t>HELD</w:t>
            </w:r>
          </w:p>
        </w:tc>
        <w:tc>
          <w:tcPr>
            <w:tcW w:type="dxa" w:w="2880"/>
          </w:tcPr>
          <w:p>
            <w:pPr>
              <w:spacing w:after="40"/>
            </w:pPr>
            <w:r>
              <w:rPr>
                <w:sz w:val="18"/>
              </w:rPr>
              <w:t>0.0%, 0.6%</w:t>
            </w:r>
          </w:p>
        </w:tc>
      </w:tr>
      <w:tr>
        <w:tc>
          <w:tcPr>
            <w:tcW w:type="dxa" w:w="2880"/>
          </w:tcPr>
          <w:p>
            <w:pPr>
              <w:spacing w:after="40"/>
            </w:pPr>
            <w:r>
              <w:rPr>
                <w:sz w:val="18"/>
              </w:rPr>
              <w:t>H4-5: B13 benign FPR (untrusted, evidence) in 3-30%</w:t>
            </w:r>
          </w:p>
        </w:tc>
        <w:tc>
          <w:tcPr>
            <w:tcW w:type="dxa" w:w="2880"/>
          </w:tcPr>
          <w:p>
            <w:pPr>
              <w:spacing w:after="40"/>
            </w:pPr>
            <w:r>
              <w:rPr>
                <w:sz w:val="18"/>
              </w:rPr>
              <w:t>HELD</w:t>
            </w:r>
          </w:p>
        </w:tc>
        <w:tc>
          <w:tcPr>
            <w:tcW w:type="dxa" w:w="2880"/>
          </w:tcPr>
          <w:p>
            <w:pPr>
              <w:spacing w:after="40"/>
            </w:pPr>
            <w:r>
              <w:rPr>
                <w:sz w:val="18"/>
              </w:rPr>
              <w:t>11.8%</w:t>
            </w:r>
          </w:p>
        </w:tc>
      </w:tr>
      <w:tr>
        <w:tc>
          <w:tcPr>
            <w:tcW w:type="dxa" w:w="2880"/>
          </w:tcPr>
          <w:p>
            <w:pPr>
              <w:spacing w:after="40"/>
            </w:pPr>
            <w:r>
              <w:rPr>
                <w:sz w:val="18"/>
              </w:rPr>
              <w:t>H4-6: B13/B17/B18 user_turn FPR each &lt;= 3%</w:t>
            </w:r>
          </w:p>
        </w:tc>
        <w:tc>
          <w:tcPr>
            <w:tcW w:type="dxa" w:w="2880"/>
          </w:tcPr>
          <w:p>
            <w:pPr>
              <w:spacing w:after="40"/>
            </w:pPr>
            <w:r>
              <w:rPr>
                <w:sz w:val="18"/>
              </w:rPr>
              <w:t>HELD</w:t>
            </w:r>
          </w:p>
        </w:tc>
        <w:tc>
          <w:tcPr>
            <w:tcW w:type="dxa" w:w="2880"/>
          </w:tcPr>
          <w:p>
            <w:pPr>
              <w:spacing w:after="40"/>
            </w:pPr>
            <w:r>
              <w:rPr>
                <w:sz w:val="18"/>
              </w:rPr>
              <w:t>0.0%, 0.0%, 1.5%</w:t>
            </w:r>
          </w:p>
        </w:tc>
      </w:tr>
      <w:tr>
        <w:tc>
          <w:tcPr>
            <w:tcW w:type="dxa" w:w="2880"/>
          </w:tcPr>
          <w:p>
            <w:pPr>
              <w:spacing w:after="40"/>
            </w:pPr>
            <w:r>
              <w:rPr>
                <w:sz w:val="18"/>
              </w:rPr>
              <w:t>H4-7: B20 recall &lt;= B17</w:t>
            </w:r>
          </w:p>
        </w:tc>
        <w:tc>
          <w:tcPr>
            <w:tcW w:type="dxa" w:w="2880"/>
          </w:tcPr>
          <w:p>
            <w:pPr>
              <w:spacing w:after="40"/>
            </w:pPr>
            <w:r>
              <w:rPr>
                <w:sz w:val="18"/>
              </w:rPr>
              <w:t>HELD</w:t>
            </w:r>
          </w:p>
        </w:tc>
        <w:tc>
          <w:tcPr>
            <w:tcW w:type="dxa" w:w="2880"/>
          </w:tcPr>
          <w:p>
            <w:pPr>
              <w:spacing w:after="40"/>
            </w:pPr>
            <w:r>
              <w:rPr>
                <w:sz w:val="18"/>
              </w:rPr>
              <w:t>48.4% vs 50.3%</w:t>
            </w:r>
          </w:p>
        </w:tc>
      </w:tr>
      <w:tr>
        <w:tc>
          <w:tcPr>
            <w:tcW w:type="dxa" w:w="2880"/>
          </w:tcPr>
          <w:p>
            <w:pPr>
              <w:spacing w:after="40"/>
            </w:pPr>
            <w:r>
              <w:rPr>
                <w:sz w:val="18"/>
              </w:rPr>
              <w:t>H4-8: framing drop on note-shaped attacks &lt; 15 points</w:t>
            </w:r>
          </w:p>
        </w:tc>
        <w:tc>
          <w:tcPr>
            <w:tcW w:type="dxa" w:w="2880"/>
          </w:tcPr>
          <w:p>
            <w:pPr>
              <w:spacing w:after="40"/>
            </w:pPr>
            <w:r>
              <w:rPr>
                <w:sz w:val="18"/>
              </w:rPr>
              <w:t>HELD</w:t>
            </w:r>
          </w:p>
        </w:tc>
        <w:tc>
          <w:tcPr>
            <w:tcW w:type="dxa" w:w="2880"/>
          </w:tcPr>
          <w:p>
            <w:pPr>
              <w:spacing w:after="40"/>
            </w:pPr>
            <w:r>
              <w:rPr>
                <w:sz w:val="18"/>
              </w:rPr>
              <w:t>60.5% -&gt; 56.1% (+4.5)</w:t>
            </w:r>
          </w:p>
        </w:tc>
      </w:tr>
      <w:tr>
        <w:tc>
          <w:tcPr>
            <w:tcW w:type="dxa" w:w="2880"/>
          </w:tcPr>
          <w:p>
            <w:pPr>
              <w:spacing w:after="40"/>
            </w:pPr>
            <w:r>
              <w:rPr>
                <w:sz w:val="18"/>
              </w:rPr>
              <w:t>H6-1: B17 matched-benign FPR in 2-15%</w:t>
            </w:r>
          </w:p>
        </w:tc>
        <w:tc>
          <w:tcPr>
            <w:tcW w:type="dxa" w:w="2880"/>
          </w:tcPr>
          <w:p>
            <w:pPr>
              <w:spacing w:after="40"/>
            </w:pPr>
            <w:r>
              <w:rPr>
                <w:sz w:val="18"/>
              </w:rPr>
              <w:t>HELD</w:t>
            </w:r>
          </w:p>
        </w:tc>
        <w:tc>
          <w:tcPr>
            <w:tcW w:type="dxa" w:w="2880"/>
          </w:tcPr>
          <w:p>
            <w:pPr>
              <w:spacing w:after="40"/>
            </w:pPr>
            <w:r>
              <w:rPr>
                <w:sz w:val="18"/>
              </w:rPr>
              <w:t>2.2%</w:t>
            </w:r>
          </w:p>
        </w:tc>
      </w:tr>
      <w:tr>
        <w:tc>
          <w:tcPr>
            <w:tcW w:type="dxa" w:w="2880"/>
          </w:tcPr>
          <w:p>
            <w:pPr>
              <w:spacing w:after="40"/>
            </w:pPr>
            <w:r>
              <w:rPr>
                <w:sz w:val="18"/>
              </w:rPr>
              <w:t>H6-2: B17 recall in 60-95%</w:t>
            </w:r>
          </w:p>
        </w:tc>
        <w:tc>
          <w:tcPr>
            <w:tcW w:type="dxa" w:w="2880"/>
          </w:tcPr>
          <w:p>
            <w:pPr>
              <w:spacing w:after="40"/>
            </w:pPr>
            <w:r>
              <w:rPr>
                <w:sz w:val="18"/>
              </w:rPr>
              <w:t>HELD</w:t>
            </w:r>
          </w:p>
        </w:tc>
        <w:tc>
          <w:tcPr>
            <w:tcW w:type="dxa" w:w="2880"/>
          </w:tcPr>
          <w:p>
            <w:pPr>
              <w:spacing w:after="40"/>
            </w:pPr>
            <w:r>
              <w:rPr>
                <w:sz w:val="18"/>
              </w:rPr>
              <w:t>77.6%</w:t>
            </w:r>
          </w:p>
        </w:tc>
      </w:tr>
      <w:tr>
        <w:tc>
          <w:tcPr>
            <w:tcW w:type="dxa" w:w="2880"/>
          </w:tcPr>
          <w:p>
            <w:pPr>
              <w:spacing w:after="40"/>
            </w:pPr>
            <w:r>
              <w:rPr>
                <w:sz w:val="18"/>
              </w:rPr>
              <w:t>H6-3: B14 recall &gt; B13, p&lt;0.05</w:t>
            </w:r>
          </w:p>
        </w:tc>
        <w:tc>
          <w:tcPr>
            <w:tcW w:type="dxa" w:w="2880"/>
          </w:tcPr>
          <w:p>
            <w:pPr>
              <w:spacing w:after="40"/>
            </w:pPr>
            <w:r>
              <w:rPr>
                <w:sz w:val="18"/>
              </w:rPr>
              <w:t>HELD</w:t>
            </w:r>
          </w:p>
        </w:tc>
        <w:tc>
          <w:tcPr>
            <w:tcW w:type="dxa" w:w="2880"/>
          </w:tcPr>
          <w:p>
            <w:pPr>
              <w:spacing w:after="40"/>
            </w:pPr>
            <w:r>
              <w:rPr>
                <w:sz w:val="18"/>
              </w:rPr>
              <w:t>77.4% vs 37.2%, p=3.2e-59</w:t>
            </w:r>
          </w:p>
        </w:tc>
      </w:tr>
      <w:tr>
        <w:tc>
          <w:tcPr>
            <w:tcW w:type="dxa" w:w="2880"/>
          </w:tcPr>
          <w:p>
            <w:pPr>
              <w:spacing w:after="40"/>
            </w:pPr>
            <w:r>
              <w:rPr>
                <w:sz w:val="18"/>
              </w:rPr>
              <w:t>H6-4: PRIMARY replication: P4(B12) &lt; P2(B12), p&lt;0.05</w:t>
            </w:r>
          </w:p>
        </w:tc>
        <w:tc>
          <w:tcPr>
            <w:tcW w:type="dxa" w:w="2880"/>
          </w:tcPr>
          <w:p>
            <w:pPr>
              <w:spacing w:after="40"/>
            </w:pPr>
            <w:r>
              <w:rPr>
                <w:sz w:val="18"/>
              </w:rPr>
              <w:t>HELD</w:t>
            </w:r>
          </w:p>
        </w:tc>
        <w:tc>
          <w:tcPr>
            <w:tcW w:type="dxa" w:w="2880"/>
          </w:tcPr>
          <w:p>
            <w:pPr>
              <w:spacing w:after="40"/>
            </w:pPr>
            <w:r>
              <w:rPr>
                <w:sz w:val="18"/>
              </w:rPr>
              <w:t>246 -&gt; 227 of 500, p=0.023</w:t>
            </w:r>
          </w:p>
        </w:tc>
      </w:tr>
      <w:tr>
        <w:tc>
          <w:tcPr>
            <w:tcW w:type="dxa" w:w="2880"/>
          </w:tcPr>
          <w:p>
            <w:pPr>
              <w:spacing w:after="40"/>
            </w:pPr>
            <w:r>
              <w:rPr>
                <w:sz w:val="18"/>
              </w:rPr>
              <w:t>H6-6: P4(B18) &lt; P2(B18), p&lt;0.05</w:t>
            </w:r>
          </w:p>
        </w:tc>
        <w:tc>
          <w:tcPr>
            <w:tcW w:type="dxa" w:w="2880"/>
          </w:tcPr>
          <w:p>
            <w:pPr>
              <w:spacing w:after="40"/>
            </w:pPr>
            <w:r>
              <w:rPr>
                <w:sz w:val="18"/>
              </w:rPr>
              <w:t>FAILED</w:t>
            </w:r>
          </w:p>
        </w:tc>
        <w:tc>
          <w:tcPr>
            <w:tcW w:type="dxa" w:w="2880"/>
          </w:tcPr>
          <w:p>
            <w:pPr>
              <w:spacing w:after="40"/>
            </w:pPr>
            <w:r>
              <w:rPr>
                <w:sz w:val="18"/>
              </w:rPr>
              <w:t>5 -&gt; 4 of 500, p=1</w:t>
            </w:r>
          </w:p>
        </w:tc>
      </w:tr>
      <w:tr>
        <w:tc>
          <w:tcPr>
            <w:tcW w:type="dxa" w:w="2880"/>
          </w:tcPr>
          <w:p>
            <w:pPr>
              <w:spacing w:after="40"/>
            </w:pPr>
            <w:r>
              <w:rPr>
                <w:sz w:val="18"/>
              </w:rPr>
              <w:t>H6-5: P1 cuts compliance vs P0, p&lt;0.05</w:t>
            </w:r>
          </w:p>
        </w:tc>
        <w:tc>
          <w:tcPr>
            <w:tcW w:type="dxa" w:w="2880"/>
          </w:tcPr>
          <w:p>
            <w:pPr>
              <w:spacing w:after="40"/>
            </w:pPr>
            <w:r>
              <w:rPr>
                <w:sz w:val="18"/>
              </w:rPr>
              <w:t>HELD</w:t>
            </w:r>
          </w:p>
        </w:tc>
        <w:tc>
          <w:tcPr>
            <w:tcW w:type="dxa" w:w="2880"/>
          </w:tcPr>
          <w:p>
            <w:pPr>
              <w:spacing w:after="40"/>
            </w:pPr>
            <w:r>
              <w:rPr>
                <w:sz w:val="18"/>
              </w:rPr>
              <w:t>64.8% -&gt; 57.4%, p=0.0003</w:t>
            </w:r>
          </w:p>
        </w:tc>
      </w:tr>
      <w:tr>
        <w:tc>
          <w:tcPr>
            <w:tcW w:type="dxa" w:w="2880"/>
          </w:tcPr>
          <w:p>
            <w:pPr>
              <w:spacing w:after="40"/>
            </w:pPr>
            <w:r>
              <w:rPr>
                <w:sz w:val="18"/>
              </w:rPr>
              <w:t>H6-7: B14 recall on degree-3 &gt;= degree-1</w:t>
            </w:r>
          </w:p>
        </w:tc>
        <w:tc>
          <w:tcPr>
            <w:tcW w:type="dxa" w:w="2880"/>
          </w:tcPr>
          <w:p>
            <w:pPr>
              <w:spacing w:after="40"/>
            </w:pPr>
            <w:r>
              <w:rPr>
                <w:sz w:val="18"/>
              </w:rPr>
              <w:t>HELD</w:t>
            </w:r>
          </w:p>
        </w:tc>
        <w:tc>
          <w:tcPr>
            <w:tcW w:type="dxa" w:w="2880"/>
          </w:tcPr>
          <w:p>
            <w:pPr>
              <w:spacing w:after="40"/>
            </w:pPr>
            <w:r>
              <w:rPr>
                <w:sz w:val="18"/>
              </w:rPr>
              <w:t>degree 1 70.7%, degree 3 85.3%</w:t>
            </w:r>
          </w:p>
        </w:tc>
      </w:tr>
      <w:tr>
        <w:tc>
          <w:tcPr>
            <w:tcW w:type="dxa" w:w="2880"/>
          </w:tcPr>
          <w:p>
            <w:pPr>
              <w:spacing w:after="40"/>
            </w:pPr>
            <w:r>
              <w:rPr>
                <w:sz w:val="18"/>
              </w:rPr>
              <w:t>H7-1: B14 recall instruction &gt; note families (owner-matched)</w:t>
            </w:r>
          </w:p>
        </w:tc>
        <w:tc>
          <w:tcPr>
            <w:tcW w:type="dxa" w:w="2880"/>
          </w:tcPr>
          <w:p>
            <w:pPr>
              <w:spacing w:after="40"/>
            </w:pPr>
            <w:r>
              <w:rPr>
                <w:sz w:val="18"/>
              </w:rPr>
              <w:t>HELD</w:t>
            </w:r>
          </w:p>
        </w:tc>
        <w:tc>
          <w:tcPr>
            <w:tcW w:type="dxa" w:w="2880"/>
          </w:tcPr>
          <w:p>
            <w:pPr>
              <w:spacing w:after="40"/>
            </w:pPr>
            <w:r>
              <w:rPr>
                <w:sz w:val="18"/>
              </w:rPr>
              <w:t>instruction 46.2% vs note 2.2%</w:t>
            </w:r>
          </w:p>
        </w:tc>
      </w:tr>
      <w:tr>
        <w:tc>
          <w:tcPr>
            <w:tcW w:type="dxa" w:w="2880"/>
          </w:tcPr>
          <w:p>
            <w:pPr>
              <w:spacing w:after="40"/>
            </w:pPr>
            <w:r>
              <w:rPr>
                <w:sz w:val="18"/>
              </w:rPr>
              <w:t>H7-2: B13 recall on instruction families &gt;= 50%</w:t>
            </w:r>
          </w:p>
        </w:tc>
        <w:tc>
          <w:tcPr>
            <w:tcW w:type="dxa" w:w="2880"/>
          </w:tcPr>
          <w:p>
            <w:pPr>
              <w:spacing w:after="40"/>
            </w:pPr>
            <w:r>
              <w:rPr>
                <w:sz w:val="18"/>
              </w:rPr>
              <w:t>HELD</w:t>
            </w:r>
          </w:p>
        </w:tc>
        <w:tc>
          <w:tcPr>
            <w:tcW w:type="dxa" w:w="2880"/>
          </w:tcPr>
          <w:p>
            <w:pPr>
              <w:spacing w:after="40"/>
            </w:pPr>
            <w:r>
              <w:rPr>
                <w:sz w:val="18"/>
              </w:rPr>
              <w:t>68.8%</w:t>
            </w:r>
          </w:p>
        </w:tc>
      </w:tr>
      <w:tr>
        <w:tc>
          <w:tcPr>
            <w:tcW w:type="dxa" w:w="2880"/>
          </w:tcPr>
          <w:p>
            <w:pPr>
              <w:spacing w:after="40"/>
            </w:pPr>
            <w:r>
              <w:rPr>
                <w:sz w:val="18"/>
              </w:rPr>
              <w:t>H7-3: B13c - B13 on contradiction in 0..+15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H7-4: B13c - B13 benign FPR &lt;= +5 points</w:t>
            </w:r>
          </w:p>
        </w:tc>
        <w:tc>
          <w:tcPr>
            <w:tcW w:type="dxa" w:w="2880"/>
          </w:tcPr>
          <w:p>
            <w:pPr>
              <w:spacing w:after="40"/>
            </w:pPr>
            <w:r>
              <w:rPr>
                <w:sz w:val="18"/>
              </w:rPr>
              <w:t>HELD</w:t>
            </w:r>
          </w:p>
        </w:tc>
        <w:tc>
          <w:tcPr>
            <w:tcW w:type="dxa" w:w="2880"/>
          </w:tcPr>
          <w:p>
            <w:pPr>
              <w:spacing w:after="40"/>
            </w:pPr>
            <w:r>
              <w:rPr>
                <w:sz w:val="18"/>
              </w:rPr>
              <w:t>+1.4</w:t>
            </w:r>
          </w:p>
        </w:tc>
      </w:tr>
      <w:tr>
        <w:tc>
          <w:tcPr>
            <w:tcW w:type="dxa" w:w="2880"/>
          </w:tcPr>
          <w:p>
            <w:pPr>
              <w:spacing w:after="40"/>
            </w:pPr>
            <w:r>
              <w:rPr>
                <w:sz w:val="18"/>
              </w:rPr>
              <w:t>H7-5: B18 recall &gt;= B13 recall</w:t>
            </w:r>
          </w:p>
        </w:tc>
        <w:tc>
          <w:tcPr>
            <w:tcW w:type="dxa" w:w="2880"/>
          </w:tcPr>
          <w:p>
            <w:pPr>
              <w:spacing w:after="40"/>
            </w:pPr>
            <w:r>
              <w:rPr>
                <w:sz w:val="18"/>
              </w:rPr>
              <w:t>HELD</w:t>
            </w:r>
          </w:p>
        </w:tc>
        <w:tc>
          <w:tcPr>
            <w:tcW w:type="dxa" w:w="2880"/>
          </w:tcPr>
          <w:p>
            <w:pPr>
              <w:spacing w:after="40"/>
            </w:pPr>
            <w:r>
              <w:rPr>
                <w:sz w:val="18"/>
              </w:rPr>
              <w:t>56.8% vs 53.6%</w:t>
            </w:r>
          </w:p>
        </w:tc>
      </w:tr>
      <w:tr>
        <w:tc>
          <w:tcPr>
            <w:tcW w:type="dxa" w:w="2880"/>
          </w:tcPr>
          <w:p>
            <w:pPr>
              <w:spacing w:after="40"/>
            </w:pPr>
            <w:r>
              <w:rPr>
                <w:sz w:val="18"/>
              </w:rPr>
              <w:t>H7-6: user_turn FPR each &lt;= 3%</w:t>
            </w:r>
          </w:p>
        </w:tc>
        <w:tc>
          <w:tcPr>
            <w:tcW w:type="dxa" w:w="2880"/>
          </w:tcPr>
          <w:p>
            <w:pPr>
              <w:spacing w:after="40"/>
            </w:pPr>
            <w:r>
              <w:rPr>
                <w:sz w:val="18"/>
              </w:rPr>
              <w:t>FAILED</w:t>
            </w:r>
          </w:p>
        </w:tc>
        <w:tc>
          <w:tcPr>
            <w:tcW w:type="dxa" w:w="2880"/>
          </w:tcPr>
          <w:p>
            <w:pPr>
              <w:spacing w:after="40"/>
            </w:pPr>
            <w:r>
              <w:rPr>
                <w:sz w:val="18"/>
              </w:rPr>
              <w:t>0.0%, 0.0%, 4.9%</w:t>
            </w:r>
          </w:p>
        </w:tc>
      </w:tr>
      <w:tr>
        <w:tc>
          <w:tcPr>
            <w:tcW w:type="dxa" w:w="2880"/>
          </w:tcPr>
          <w:p>
            <w:pPr>
              <w:spacing w:after="40"/>
            </w:pPr>
            <w:r>
              <w:rPr>
                <w:sz w:val="18"/>
              </w:rPr>
              <w:t>H7-7: framing drop larger on instruction than note families</w:t>
            </w:r>
          </w:p>
        </w:tc>
        <w:tc>
          <w:tcPr>
            <w:tcW w:type="dxa" w:w="2880"/>
          </w:tcPr>
          <w:p>
            <w:pPr>
              <w:spacing w:after="40"/>
            </w:pPr>
            <w:r>
              <w:rPr>
                <w:sz w:val="18"/>
              </w:rPr>
              <w:t>FAILED</w:t>
            </w:r>
          </w:p>
        </w:tc>
        <w:tc>
          <w:tcPr>
            <w:tcW w:type="dxa" w:w="2880"/>
          </w:tcPr>
          <w:p>
            <w:pPr>
              <w:spacing w:after="40"/>
            </w:pPr>
            <w:r>
              <w:rPr>
                <w:sz w:val="18"/>
              </w:rPr>
              <w:t>instruction -5.0 vs note +17.8 points</w:t>
            </w:r>
          </w:p>
        </w:tc>
      </w:tr>
      <w:tr>
        <w:tc>
          <w:tcPr>
            <w:tcW w:type="dxa" w:w="2880"/>
          </w:tcPr>
          <w:p>
            <w:pPr>
              <w:spacing w:after="40"/>
            </w:pPr>
            <w:r>
              <w:rPr>
                <w:sz w:val="18"/>
              </w:rPr>
              <w:t>B-1: framing cuts own-attack harm by 0-10 points</w:t>
            </w:r>
          </w:p>
        </w:tc>
        <w:tc>
          <w:tcPr>
            <w:tcW w:type="dxa" w:w="2880"/>
          </w:tcPr>
          <w:p>
            <w:pPr>
              <w:spacing w:after="40"/>
            </w:pPr>
            <w:r>
              <w:rPr>
                <w:sz w:val="18"/>
              </w:rPr>
              <w:t>HELD</w:t>
            </w:r>
          </w:p>
        </w:tc>
        <w:tc>
          <w:tcPr>
            <w:tcW w:type="dxa" w:w="2880"/>
          </w:tcPr>
          <w:p>
            <w:pPr>
              <w:spacing w:after="40"/>
            </w:pPr>
            <w:r>
              <w:rPr>
                <w:sz w:val="18"/>
              </w:rPr>
              <w:t>+4.2</w:t>
            </w:r>
          </w:p>
        </w:tc>
      </w:tr>
      <w:tr>
        <w:tc>
          <w:tcPr>
            <w:tcW w:type="dxa" w:w="2880"/>
          </w:tcPr>
          <w:p>
            <w:pPr>
              <w:spacing w:after="40"/>
            </w:pPr>
            <w:r>
              <w:rPr>
                <w:sz w:val="18"/>
              </w:rPr>
              <w:t>B-2: B13 + frame harm &lt;= B13 harm</w:t>
            </w:r>
          </w:p>
        </w:tc>
        <w:tc>
          <w:tcPr>
            <w:tcW w:type="dxa" w:w="2880"/>
          </w:tcPr>
          <w:p>
            <w:pPr>
              <w:spacing w:after="40"/>
            </w:pPr>
            <w:r>
              <w:rPr>
                <w:sz w:val="18"/>
              </w:rPr>
              <w:t>HELD</w:t>
            </w:r>
          </w:p>
        </w:tc>
        <w:tc>
          <w:tcPr>
            <w:tcW w:type="dxa" w:w="2880"/>
          </w:tcPr>
          <w:p>
            <w:pPr>
              <w:spacing w:after="40"/>
            </w:pPr>
            <w:r>
              <w:rPr>
                <w:sz w:val="18"/>
              </w:rPr>
              <w:t>6.5% vs 9.1%</w:t>
            </w:r>
          </w:p>
        </w:tc>
      </w:tr>
      <w:tr>
        <w:tc>
          <w:tcPr>
            <w:tcW w:type="dxa" w:w="2880"/>
          </w:tcPr>
          <w:p>
            <w:pPr>
              <w:spacing w:after="40"/>
            </w:pPr>
            <w:r>
              <w:rPr>
                <w:sz w:val="18"/>
              </w:rPr>
              <w:t>B-3: framing cuts Gemini compliance, p&lt;0.05</w:t>
            </w:r>
          </w:p>
        </w:tc>
        <w:tc>
          <w:tcPr>
            <w:tcW w:type="dxa" w:w="2880"/>
          </w:tcPr>
          <w:p>
            <w:pPr>
              <w:spacing w:after="40"/>
            </w:pPr>
            <w:r>
              <w:rPr>
                <w:sz w:val="18"/>
              </w:rPr>
              <w:t>HELD</w:t>
            </w:r>
          </w:p>
        </w:tc>
        <w:tc>
          <w:tcPr>
            <w:tcW w:type="dxa" w:w="2880"/>
          </w:tcPr>
          <w:p>
            <w:pPr>
              <w:spacing w:after="40"/>
            </w:pPr>
            <w:r>
              <w:rPr>
                <w:sz w:val="18"/>
              </w:rPr>
              <w:t>50.0% -&gt; 13.3%, p=4.8e-07</w:t>
            </w:r>
          </w:p>
        </w:tc>
      </w:tr>
      <w:tr>
        <w:tc>
          <w:tcPr>
            <w:tcW w:type="dxa" w:w="2880"/>
          </w:tcPr>
          <w:p>
            <w:pPr>
              <w:spacing w:after="40"/>
            </w:pPr>
            <w:r>
              <w:rPr>
                <w:sz w:val="18"/>
              </w:rPr>
              <w:t>B-4: Gemini raw compliance &lt; qwen's</w:t>
            </w:r>
          </w:p>
        </w:tc>
        <w:tc>
          <w:tcPr>
            <w:tcW w:type="dxa" w:w="2880"/>
          </w:tcPr>
          <w:p>
            <w:pPr>
              <w:spacing w:after="40"/>
            </w:pPr>
            <w:r>
              <w:rPr>
                <w:sz w:val="18"/>
              </w:rPr>
              <w:t>HELD</w:t>
            </w:r>
          </w:p>
        </w:tc>
        <w:tc>
          <w:tcPr>
            <w:tcW w:type="dxa" w:w="2880"/>
          </w:tcPr>
          <w:p>
            <w:pPr>
              <w:spacing w:after="40"/>
            </w:pPr>
            <w:r>
              <w:rPr>
                <w:sz w:val="18"/>
              </w:rPr>
              <w:t>50.0% vs 51.7%</w:t>
            </w:r>
          </w:p>
        </w:tc>
      </w:tr>
      <w:tr>
        <w:tc>
          <w:tcPr>
            <w:tcW w:type="dxa" w:w="2880"/>
          </w:tcPr>
          <w:p>
            <w:pPr>
              <w:spacing w:after="40"/>
            </w:pPr>
            <w:r>
              <w:rPr>
                <w:sz w:val="18"/>
              </w:rPr>
              <w:t>B-5: a radius above 0.90 satisfies the selection rule</w:t>
            </w:r>
          </w:p>
        </w:tc>
        <w:tc>
          <w:tcPr>
            <w:tcW w:type="dxa" w:w="2880"/>
          </w:tcPr>
          <w:p>
            <w:pPr>
              <w:spacing w:after="40"/>
            </w:pPr>
            <w:r>
              <w:rPr>
                <w:sz w:val="18"/>
              </w:rPr>
              <w:t>HELD</w:t>
            </w:r>
          </w:p>
        </w:tc>
        <w:tc>
          <w:tcPr>
            <w:tcW w:type="dxa" w:w="2880"/>
          </w:tcPr>
          <w:p>
            <w:pPr>
              <w:spacing w:after="40"/>
            </w:pPr>
            <w:r>
              <w:rPr>
                <w:sz w:val="18"/>
              </w:rPr>
              <w:t>radius 0.95 keeps the adaptive-evasion effect with a ledger-poisoning blast radius of 6.4% (0.90: 29.7%)</w:t>
            </w:r>
          </w:p>
        </w:tc>
      </w:tr>
      <w:tr>
        <w:tc>
          <w:tcPr>
            <w:tcW w:type="dxa" w:w="2880"/>
          </w:tcPr>
          <w:p>
            <w:pPr>
              <w:spacing w:after="40"/>
            </w:pPr>
            <w:r>
              <w:rPr>
                <w:sz w:val="18"/>
              </w:rPr>
              <w:t>B-6: some generator's acceptance &gt;= 8.4% + 15 points</w:t>
            </w:r>
          </w:p>
        </w:tc>
        <w:tc>
          <w:tcPr>
            <w:tcW w:type="dxa" w:w="2880"/>
          </w:tcPr>
          <w:p>
            <w:pPr>
              <w:spacing w:after="40"/>
            </w:pPr>
            <w:r>
              <w:rPr>
                <w:sz w:val="18"/>
              </w:rPr>
              <w:t>HELD</w:t>
            </w:r>
          </w:p>
        </w:tc>
        <w:tc>
          <w:tcPr>
            <w:tcW w:type="dxa" w:w="2880"/>
          </w:tcPr>
          <w:p>
            <w:pPr>
              <w:spacing w:after="40"/>
            </w:pPr>
            <w:r>
              <w:rPr>
                <w:sz w:val="18"/>
              </w:rPr>
              <w:t>best 27.5%</w:t>
            </w:r>
          </w:p>
        </w:tc>
      </w:tr>
    </w:tbl>
    <w:p>
      <w:pPr>
        <w:spacing w:after="200"/>
      </w:pPr>
      <w:r>
        <w:rPr>
          <w:i/>
          <w:sz w:val="18"/>
        </w:rPr>
        <w:t>Table 16. Every round-7 pre-registered prediction, scored mechanically from the artifacts (phase17/report_round7.py): 29/35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+5.0 points (p=0.082): at the edge of this document's noise floor and not significant, so it is reported as a possible small cost rather than none. The harmful v1 frame, by contrast, cost 10 points.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17; the full-population and working-subset recalls are both reported.</w:t>
      </w:r>
    </w:p>
    <w:p>
      <w:pPr>
        <w:spacing w:after="120"/>
      </w:pPr>
      <w:r>
        <w:t>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w:t>
      </w:r>
    </w:p>
    <w:p>
      <w:pPr>
        <w:pStyle w:val="Heading2"/>
      </w:pPr>
      <w:r>
        <w:t>12A. Round 7 in One Paragraph</w:t>
      </w:r>
    </w:p>
    <w:p>
      <w:pPr>
        <w:spacing w:after="120"/>
      </w:pPr>
      <w:r>
        <w:t>Round 7 tested this project's own claims against data built to break them. Of 35 pre-registered predictions 29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pStyle w:val="Heading1"/>
      </w:pPr>
      <w:r>
        <w:t>14. Publishability, Against the Two-Sided Standard</w:t>
      </w:r>
    </w:p>
    <w:p>
      <w:pPr>
        <w:spacing w:after="120"/>
      </w:pPr>
      <w:r>
        <w:t>The verdict below is computed by phase17/publishability.py from the artifacts, not written by hand. Each criterion is PASS, FAIL or PENDING; evidence not yet produced is PENDING, never PASS. Publishable requires every criterion to pass and every disqualifier to be clear.</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Criterion</w:t>
            </w:r>
          </w:p>
        </w:tc>
        <w:tc>
          <w:tcPr>
            <w:tcW w:type="dxa" w:w="2880"/>
          </w:tcPr>
          <w:p>
            <w:pPr>
              <w:spacing w:after="40"/>
            </w:pPr>
            <w:r>
              <w:rPr>
                <w:b/>
                <w:sz w:val="18"/>
              </w:rPr>
              <w:t>Status</w:t>
            </w:r>
          </w:p>
        </w:tc>
        <w:tc>
          <w:tcPr>
            <w:tcW w:type="dxa" w:w="2880"/>
          </w:tcPr>
          <w:p>
            <w:pPr>
              <w:spacing w:after="40"/>
            </w:pPr>
            <w:r>
              <w:rPr>
                <w:b/>
                <w:sz w:val="18"/>
              </w:rPr>
              <w:t>Evidence</w:t>
            </w:r>
          </w:p>
        </w:tc>
      </w:tr>
      <w:tr>
        <w:tc>
          <w:tcPr>
            <w:tcW w:type="dxa" w:w="2880"/>
          </w:tcPr>
          <w:p>
            <w:pPr>
              <w:spacing w:after="40"/>
            </w:pPr>
            <w:r>
              <w:rPr>
                <w:sz w:val="18"/>
              </w:rPr>
              <w:t>traceable</w:t>
            </w:r>
          </w:p>
        </w:tc>
        <w:tc>
          <w:tcPr>
            <w:tcW w:type="dxa" w:w="2880"/>
          </w:tcPr>
          <w:p>
            <w:pPr>
              <w:spacing w:after="40"/>
            </w:pPr>
            <w:r>
              <w:rPr>
                <w:sz w:val="18"/>
              </w:rPr>
              <w:t>PASS</w:t>
            </w:r>
          </w:p>
        </w:tc>
        <w:tc>
          <w:tcPr>
            <w:tcW w:type="dxa" w:w="2880"/>
          </w:tcPr>
          <w:p>
            <w:pPr>
              <w:spacing w:after="40"/>
            </w:pPr>
            <w:r>
              <w:rPr>
                <w:sz w:val="18"/>
              </w:rPr>
              <w:t>62 inventory rows; missing artifacts: none</w:t>
            </w:r>
          </w:p>
        </w:tc>
      </w:tr>
      <w:tr>
        <w:tc>
          <w:tcPr>
            <w:tcW w:type="dxa" w:w="2880"/>
          </w:tcPr>
          <w:p>
            <w:pPr>
              <w:spacing w:after="40"/>
            </w:pPr>
            <w:r>
              <w:rPr>
                <w:sz w:val="18"/>
              </w:rPr>
              <w:t>fpr and both denominators</w:t>
            </w:r>
          </w:p>
        </w:tc>
        <w:tc>
          <w:tcPr>
            <w:tcW w:type="dxa" w:w="2880"/>
          </w:tcPr>
          <w:p>
            <w:pPr>
              <w:spacing w:after="40"/>
            </w:pPr>
            <w:r>
              <w:rPr>
                <w:sz w:val="18"/>
              </w:rPr>
              <w:t>PENDING</w:t>
            </w:r>
          </w:p>
        </w:tc>
        <w:tc>
          <w:tcPr>
            <w:tcW w:type="dxa" w:w="2880"/>
          </w:tcPr>
          <w:p>
            <w:pPr>
              <w:spacing w:after="40"/>
            </w:pPr>
            <w:r>
              <w:rPr>
                <w:sz w:val="18"/>
              </w:rPr>
              <w:t>awaiting ['holdout6 working subset']; holdout4: working=86; holdout5: working=47; holdout6: working=None; holdout7: working=NOT_REPORTABLE</w:t>
            </w:r>
          </w:p>
        </w:tc>
      </w:tr>
      <w:tr>
        <w:tc>
          <w:tcPr>
            <w:tcW w:type="dxa" w:w="2880"/>
          </w:tcPr>
          <w:p>
            <w:pPr>
              <w:spacing w:after="40"/>
            </w:pPr>
            <w:r>
              <w:rPr>
                <w:sz w:val="18"/>
              </w:rPr>
              <w:t>holdout informed labelled</w:t>
            </w:r>
          </w:p>
        </w:tc>
        <w:tc>
          <w:tcPr>
            <w:tcW w:type="dxa" w:w="2880"/>
          </w:tcPr>
          <w:p>
            <w:pPr>
              <w:spacing w:after="40"/>
            </w:pPr>
            <w:r>
              <w:rPr>
                <w:sz w:val="18"/>
              </w:rPr>
              <w:t>PASS</w:t>
            </w:r>
          </w:p>
        </w:tc>
        <w:tc>
          <w:tcPr>
            <w:tcW w:type="dxa" w:w="2880"/>
          </w:tcPr>
          <w:p>
            <w:pPr>
              <w:spacing w:after="40"/>
            </w:pPr>
            <w:r>
              <w:rPr>
                <w:sz w:val="18"/>
              </w:rPr>
              <w:t>superseded/unlabelled claims standing: none</w:t>
            </w:r>
          </w:p>
        </w:tc>
      </w:tr>
      <w:tr>
        <w:tc>
          <w:tcPr>
            <w:tcW w:type="dxa" w:w="2880"/>
          </w:tcPr>
          <w:p>
            <w:pPr>
              <w:spacing w:after="40"/>
            </w:pPr>
            <w:r>
              <w:rPr>
                <w:sz w:val="18"/>
              </w:rPr>
              <w:t>negatives in place</w:t>
            </w:r>
          </w:p>
        </w:tc>
        <w:tc>
          <w:tcPr>
            <w:tcW w:type="dxa" w:w="2880"/>
          </w:tcPr>
          <w:p>
            <w:pPr>
              <w:spacing w:after="40"/>
            </w:pPr>
            <w:r>
              <w:rPr>
                <w:sz w:val="18"/>
              </w:rPr>
              <w:t>FAIL</w:t>
            </w:r>
          </w:p>
        </w:tc>
        <w:tc>
          <w:tcPr>
            <w:tcW w:type="dxa" w:w="2880"/>
          </w:tcPr>
          <w:p>
            <w:pPr>
              <w:spacing w:after="40"/>
            </w:pPr>
            <w:r>
              <w:rPr>
                <w:sz w:val="18"/>
              </w:rPr>
              <w:t>29/35 held; failures reported in place: ['H5-3', 'H5-6', 'H5-7', 'H6-6', 'H7-6', 'H7-7']; unscored: ['H5-8']</w:t>
            </w:r>
          </w:p>
        </w:tc>
      </w:tr>
      <w:tr>
        <w:tc>
          <w:tcPr>
            <w:tcW w:type="dxa" w:w="2880"/>
          </w:tcPr>
          <w:p>
            <w:pPr>
              <w:spacing w:after="40"/>
            </w:pPr>
            <w:r>
              <w:rPr>
                <w:sz w:val="18"/>
              </w:rPr>
              <w:t>full suite passes</w:t>
            </w:r>
          </w:p>
        </w:tc>
        <w:tc>
          <w:tcPr>
            <w:tcW w:type="dxa" w:w="2880"/>
          </w:tcPr>
          <w:p>
            <w:pPr>
              <w:spacing w:after="40"/>
            </w:pPr>
            <w:r>
              <w:rPr>
                <w:sz w:val="18"/>
              </w:rPr>
              <w:t>PENDING</w:t>
            </w:r>
          </w:p>
        </w:tc>
        <w:tc>
          <w:tcPr>
            <w:tcW w:type="dxa" w:w="2880"/>
          </w:tcPr>
          <w:p>
            <w:pPr>
              <w:spacing w:after="40"/>
            </w:pPr>
            <w:r>
              <w:rPr>
                <w:sz w:val="18"/>
              </w:rPr>
              <w:t>cross-phase audit incomplete</w:t>
            </w:r>
          </w:p>
        </w:tc>
      </w:tr>
      <w:tr>
        <w:tc>
          <w:tcPr>
            <w:tcW w:type="dxa" w:w="2880"/>
          </w:tcPr>
          <w:p>
            <w:pPr>
              <w:spacing w:after="40"/>
            </w:pPr>
            <w:r>
              <w:rPr>
                <w:sz w:val="18"/>
              </w:rPr>
              <w:t>above noise floor</w:t>
            </w:r>
          </w:p>
        </w:tc>
        <w:tc>
          <w:tcPr>
            <w:tcW w:type="dxa" w:w="2880"/>
          </w:tcPr>
          <w:p>
            <w:pPr>
              <w:spacing w:after="40"/>
            </w:pPr>
            <w:r>
              <w:rPr>
                <w:sz w:val="18"/>
              </w:rPr>
              <w:t>PASS</w:t>
            </w:r>
          </w:p>
        </w:tc>
        <w:tc>
          <w:tcPr>
            <w:tcW w:type="dxa" w:w="2880"/>
          </w:tcPr>
          <w:p>
            <w:pPr>
              <w:spacing w:after="40"/>
            </w:pPr>
            <w:r>
              <w:rPr>
                <w:sz w:val="18"/>
              </w:rPr>
              <w:t>provenance reaches memory poisoning (HO4, B13 vs B14 recall): +29.9 vs floor 4.4 (n=157); powered composition (HO6, P2 -&gt; P4 harm): +3.8 vs floor 2.4 (n=500); framing helps a stronger agent (Gemini): +36.7 vs floor 7.1 (n=60)</w:t>
            </w:r>
          </w:p>
        </w:tc>
      </w:tr>
      <w:tr>
        <w:tc>
          <w:tcPr>
            <w:tcW w:type="dxa" w:w="2880"/>
          </w:tcPr>
          <w:p>
            <w:pPr>
              <w:spacing w:after="40"/>
            </w:pPr>
            <w:r>
              <w:rPr>
                <w:sz w:val="18"/>
              </w:rPr>
              <w:t>disqualifier clear: unlabelled repeated holdout</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untested family reported untested</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every guard mutation proven</w:t>
            </w:r>
          </w:p>
        </w:tc>
        <w:tc>
          <w:tcPr>
            <w:tcW w:type="dxa" w:w="2880"/>
          </w:tcPr>
          <w:p>
            <w:pPr>
              <w:spacing w:after="40"/>
            </w:pPr>
            <w:r>
              <w:rPr>
                <w:sz w:val="18"/>
              </w:rPr>
              <w:t>CLEAR</w:t>
            </w:r>
          </w:p>
        </w:tc>
        <w:tc>
          <w:tcPr>
            <w:tcW w:type="dxa" w:w="2880"/>
          </w:tcPr>
          <w:p>
            <w:pPr>
              <w:spacing w:after="40"/>
            </w:pPr>
            <w:r>
              <w:rPr>
                <w:sz w:val="18"/>
              </w:rPr>
              <w:t>17/17 proven</w:t>
            </w:r>
          </w:p>
        </w:tc>
      </w:tr>
    </w:tbl>
    <w:p>
      <w:pPr>
        <w:spacing w:after="200"/>
      </w:pPr>
      <w:r>
        <w:rPr>
          <w:i/>
          <w:sz w:val="18"/>
        </w:rPr>
        <w:t>Table 20. Verdict: NOT PUBLISHABLE. Source: phase17/data/publishability.json.</w:t>
      </w:r>
    </w:p>
    <w:p>
      <w:pPr>
        <w:spacing w:after="120"/>
      </w:pPr>
      <w:r>
        <w:t>VERDICT: NOT PUBLISHABLE. What publishable does not mean: the harm LEVELS rest on an LLM judge that a single annotator found to miss harm (Section 13A), the human check has one annotator, and conditional backdoors remain untested on a clean hold-out. Those limits are stated where the numbers appear; the standard requires them to be visible, not absent.</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NOT YET RUN</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NOT YET RUN</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publishability.json</w:t>
            </w:r>
          </w:p>
        </w:tc>
        <w:tc>
          <w:tcPr>
            <w:tcW w:type="dxa" w:w="2880"/>
          </w:tcPr>
          <w:p>
            <w:pPr>
              <w:spacing w:after="40"/>
            </w:pPr>
            <w:r>
              <w:rPr>
                <w:sz w:val="18"/>
              </w:rPr>
              <w:t>The computed publishability verdict</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