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2026-10-12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(39/47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13D). Hold-out 5 has 131 attacks, so its rates carry about +/-8 points. The stronger-agent comparison rests on 120 development items. (iv) The first three hold-outs are prompt-injection or jailbreak corpora; hold-outs 4 and 7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independent annotator then labelled the same 100 items blind to the first annotator and to the judges.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independent blind annotators,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4-7, each scored once: attack recall against the false-positive rate on benign text (matched benign for the injection hold-outs 5 and 6; untrusted-channel benign notes for the memory-poisoning hold-outs 4 and 7).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w:t>
      </w:r>
    </w:p>
    <w:p>
      <w:pPr>
        <w:pStyle w:val="Heading2"/>
      </w:pPr>
      <w:r>
        <w:t>13D. Derived Memory: Laundering Through Consolidation, and a Semantic Containment Fix</w:t>
      </w:r>
    </w:p>
    <w:p>
      <w:pPr>
        <w:spacing w:after="120"/>
      </w:pPr>
      <w:r>
        <w:t>Every result so far treats each poison as a standalone memory. Real memory systems consolidate: an LLM periodically summarises recent memories into a new one. This is the first measurement of what that does to a poison, and it exercises two components Phase 14's live pilot never reached -- the propagation containment guard (no derived memories were ever written, so it had no ancestors) and the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as on development. No single detector generalises across the attack types; their union does.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 benign false positives -- a planted-memory detector that catches dormant sleepers the dedicated guard cannot.</w:t>
      </w:r>
    </w:p>
    <w:p>
      <w:pPr>
        <w:spacing w:after="120"/>
      </w:pPr>
      <w:r>
        <w:t>The instruction-aware frame generalises (F8-1): on the 81 rule-stating attacks, harm is 65 raw, 51 under the current frame and 44 under v6. Every defence introduced this round that was pre-registered for hold-out 8 held on it.</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2" name="Picture 2"/>
            <wp:cNvGraphicFramePr>
              <a:graphicFrameLocks noChangeAspect="1"/>
            </wp:cNvGraphicFramePr>
            <a:graphic>
              <a:graphicData uri="http://schemas.openxmlformats.org/drawingml/2006/picture">
                <pic:pic>
                  <pic:nvPicPr>
                    <pic:cNvPr id="0" name="R3_adaptive.png"/>
                    <pic:cNvPicPr/>
                  </pic:nvPicPr>
                  <pic:blipFill>
                    <a:blip r:embed="rId10"/>
                    <a:stretch>
                      <a:fillRect/>
                    </a:stretch>
                  </pic:blipFill>
                  <pic:spPr>
                    <a:xfrm>
                      <a:off x="0" y="0"/>
                      <a:ext cx="5760720" cy="2982020"/>
                    </a:xfrm>
                    <a:prstGeom prst="rect"/>
                  </pic:spPr>
                </pic:pic>
              </a:graphicData>
            </a:graphic>
          </wp:inline>
        </w:drawing>
      </w:r>
    </w:p>
    <w:p>
      <w:pPr>
        <w:spacing w:after="200"/>
      </w:pPr>
      <w:r>
        <w:rPr>
          <w:i/>
          <w:sz w:val="18"/>
        </w:rPr>
        <w:t>Figure 2.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3" name="Picture 3"/>
            <wp:cNvGraphicFramePr>
              <a:graphicFrameLocks noChangeAspect="1"/>
            </wp:cNvGraphicFramePr>
            <a:graphic>
              <a:graphicData uri="http://schemas.openxmlformats.org/drawingml/2006/picture">
                <pic:pic>
                  <pic:nvPicPr>
                    <pic:cNvPr id="0" name="R2_harm.png"/>
                    <pic:cNvPicPr/>
                  </pic:nvPicPr>
                  <pic:blipFill>
                    <a:blip r:embed="rId11"/>
                    <a:stretch>
                      <a:fillRect/>
                    </a:stretch>
                  </pic:blipFill>
                  <pic:spPr>
                    <a:xfrm>
                      <a:off x="0" y="0"/>
                      <a:ext cx="5760720" cy="2534717"/>
                    </a:xfrm>
                    <a:prstGeom prst="rect"/>
                  </pic:spPr>
                </pic:pic>
              </a:graphicData>
            </a:graphic>
          </wp:inline>
        </w:drawing>
      </w:r>
    </w:p>
    <w:p>
      <w:pPr>
        <w:spacing w:after="200"/>
      </w:pPr>
      <w:r>
        <w:rPr>
          <w:i/>
          <w:sz w:val="18"/>
        </w:rPr>
        <w:t>Figure 3.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4" name="Picture 4"/>
            <wp:cNvGraphicFramePr>
              <a:graphicFrameLocks noChangeAspect="1"/>
            </wp:cNvGraphicFramePr>
            <a:graphic>
              <a:graphicData uri="http://schemas.openxmlformats.org/drawingml/2006/picture">
                <pic:pic>
                  <pic:nvPicPr>
                    <pic:cNvPr id="0" name="R4_retrieval.png"/>
                    <pic:cNvPicPr/>
                  </pic:nvPicPr>
                  <pic:blipFill>
                    <a:blip r:embed="rId12"/>
                    <a:stretch>
                      <a:fillRect/>
                    </a:stretch>
                  </pic:blipFill>
                  <pic:spPr>
                    <a:xfrm>
                      <a:off x="0" y="0"/>
                      <a:ext cx="5760720" cy="2816352"/>
                    </a:xfrm>
                    <a:prstGeom prst="rect"/>
                  </pic:spPr>
                </pic:pic>
              </a:graphicData>
            </a:graphic>
          </wp:inline>
        </w:drawing>
      </w:r>
    </w:p>
    <w:p>
      <w:pPr>
        <w:spacing w:after="200"/>
      </w:pPr>
      <w:r>
        <w:rPr>
          <w:i/>
          <w:sz w:val="18"/>
        </w:rPr>
        <w:t>Figure 4.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90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39/47 held; failures reported in place: ['H5-3', 'H5-6', 'H5-7', 'H6-6', 'H7-6', 'H7-7', 'R-4', 'P8-1']; unscored: none</w:t>
            </w:r>
          </w:p>
        </w:tc>
      </w:tr>
      <w:tr>
        <w:tc>
          <w:tcPr>
            <w:tcW w:type="dxa" w:w="2880"/>
          </w:tcPr>
          <w:p>
            <w:pPr>
              <w:spacing w:after="40"/>
            </w:pPr>
            <w:r>
              <w:rPr>
                <w:sz w:val="18"/>
              </w:rPr>
              <w:t>full suite passes</w:t>
            </w:r>
          </w:p>
        </w:tc>
        <w:tc>
          <w:tcPr>
            <w:tcW w:type="dxa" w:w="2880"/>
          </w:tcPr>
          <w:p>
            <w:pPr>
              <w:spacing w:after="40"/>
            </w:pPr>
            <w:r>
              <w:rPr>
                <w:sz w:val="18"/>
              </w:rPr>
              <w:t>PASS</w:t>
            </w:r>
          </w:p>
        </w:tc>
        <w:tc>
          <w:tcPr>
            <w:tcW w:type="dxa" w:w="2880"/>
          </w:tcPr>
          <w:p>
            <w:pPr>
              <w:spacing w:after="40"/>
            </w:pPr>
            <w:r>
              <w:rPr>
                <w:sz w:val="18"/>
              </w:rPr>
              <w:t>14 phase suites, 3511 tests passed; failing: none</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all measurements complete</w:t>
            </w:r>
          </w:p>
        </w:tc>
        <w:tc>
          <w:tcPr>
            <w:tcW w:type="dxa" w:w="2880"/>
          </w:tcPr>
          <w:p>
            <w:pPr>
              <w:spacing w:after="40"/>
            </w:pPr>
            <w:r>
              <w:rPr>
                <w:sz w:val="18"/>
              </w:rPr>
              <w:t>PASS</w:t>
            </w:r>
          </w:p>
        </w:tc>
        <w:tc>
          <w:tcPr>
            <w:tcW w:type="dxa" w:w="2880"/>
          </w:tcPr>
          <w:p>
            <w:pPr>
              <w:spacing w:after="40"/>
            </w:pPr>
            <w:r>
              <w:rPr>
                <w:sz w:val="18"/>
              </w:rPr>
              <w:t>no artifact reports complete: false</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35/35 proven</w:t>
            </w:r>
          </w:p>
        </w:tc>
      </w:tr>
    </w:tbl>
    <w:p>
      <w:pPr>
        <w:spacing w:after="200"/>
      </w:pPr>
      <w:r>
        <w:rPr>
          <w:i/>
          <w:sz w:val="18"/>
        </w:rPr>
        <w:t>Table 21. Verdict: PUBLISHABLE. Source: phase17/data/publishability.json.</w:t>
      </w:r>
    </w:p>
    <w:p>
      <w:pPr>
        <w:spacing w:after="120"/>
      </w:pPr>
      <w:r>
        <w:t>VERDICT: PUBLISHABLE. What publishable does not mean: the harm LEVELS rest on an LLM judge that two independent annotators found to miss harm (Section 13A), the human check rests on 100 items, Those limits are stated where the numbers appear; the standard requires them to be visible, not absent.</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phase17/publishability.py: floor</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