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2026-10-09): hold-out 3 was retired after seven uses and four new hold-outs (4-7) were frozen and scored once under committed predictions (39/47 held). Provenance reaches memory poisoning on two independent hold-outs (B13 vs B14: 50.3% vs 20.4%; 54.3% vs 29.5%); the 55% false-positive regime was one corpus; B17, not B18, is recommended for injection-shaped text; corroboration is brittle to an adaptive attacker alone (22/48) but not behind the rejection ledger (5/48); harm levels scored by the original judge are about half what a human-validated judge finds (58.3% vs 32.0% undefended).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publishability verdict.</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Not scored (Gemini quota): C4_gemini_original, C5_gemini_rubric.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