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2026-10-13 (round 7; corrections made in place)</w:t>
      </w:r>
    </w:p>
    <w:p>
      <w:pPr>
        <w:pStyle w:val="Heading1"/>
      </w:pPr>
      <w:r>
        <w:t>Abstract</w:t>
      </w:r>
    </w:p>
    <w:p>
      <w:pPr>
        <w:spacing w:after="120"/>
      </w:pPr>
      <w:r>
        <w:t>We report the results of five independent review rounds (3-7)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this project's configurations lead by 32.1 (B13) to 37.2 (B17) points over the strongest published baseline (deberta pi v2@dev, 14.1%)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five new corpora -- three memory-poisoning, two injection -- each scored once under predictions committed in advance (45/53 held across every round-7 prediction including hold-out 8's; one more, U-2, was pre-registered but never scored). On the first memory-poisoning hold-out -- a new author family writing about a new owner -- provenance-aware admission reaches 50.3% against 20.4% for the fused content classifier and near zero for every published detector, and the lead replicates on the second (a base-model author, a third owner: 54.3% against 29.5%).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spacing w:after="120"/>
      </w:pPr>
      <w:r>
        <w:t>Provenance's corroboration proved brittle to an attacker told why it was rejected (22/48 seeds evaded by paraphrase), and composing it with the rejection ledger closed that gap (5/48, pre-registered, p=7.6e-05). The recommended configuration for memory poisoning is therefore B13 with the owner's conversation as evidence, behind the ledger; for injection-shaped text B17, not B18, whose deberta rule cost 16.3% false positives on a second injection hold-out.</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First Three Frozen Hold-Outs (Hold-Outs 4-8: Section 13)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was reserved for out-of-loop validation (round 7 changed this: mistral authored hold-out 4 and judges hold-out 8's mechanisms, Gemini judged hold-outs 4 and 7's mechanisms and is the harm judge adopted against human labels, and no model ever judges text it wrote). Temperature is 0 with fixed seeds throughout, but runs are NOT bit-reproducible: an identical prompt set scored 66, 64 and 61 of 120 across three runs, because Ollama's concurrent batching is not deterministic. Roughly 5 points on n=120 was taken as the noise floor for LLM-generated and LLM-judged quantities, scaled as 5*sqrt(120/n) for other sample sizes, and no such difference smaller than that is claimed. Retrieval-ranking and detection decisions on fixed text are deterministic (no generation), so the floor does not apply to them; their small differences rest on exact paired tests instead.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spacing w:after="120"/>
      </w:pPr>
      <w:r>
        <w:t>The same trigger-absence error reached the harm study's AgentPoison subset, which asked its task without the trigger. Re-run through the identical pipeline with each instance's own trigger in the question, undefended harm moved 2/17 to 4/17 (11.8% to 23.5%): 2 instances turned harmful and none the other way, but at n=17 this is not significant (p=0.5). The poison was retrieved in 17/17 of both arms, so retrieval was never the limiter. It is reported as directionally consistent with the subversion finding above, not as an independent powered result.</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(original judge; a judge validated against human labels finds undefended harm about twice as high on the same answers -- Section 13B).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 the round-6 memory-poisoning recommendation, SUPERSEDED in round 7 by B13 with evidence (Section 10B: on hold-out 4 B18 matched B13's recall and added false positives) -- shown beside B13,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read that as the deberta hard rule earning its place on injection-shaped text instead; round 7's hold-out 6 contradicts that too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51.2%</w:t>
            </w:r>
          </w:p>
        </w:tc>
        <w:tc>
          <w:tcPr>
            <w:tcW w:type="dxa" w:w="1728"/>
          </w:tcPr>
          <w:p>
            <w:pPr>
              <w:spacing w:after="40"/>
            </w:pPr>
            <w:r>
              <w:rPr>
                <w:sz w:val="18"/>
              </w:rPr>
              <w:t>64.4%</w:t>
            </w:r>
          </w:p>
        </w:tc>
        <w:tc>
          <w:tcPr>
            <w:tcW w:type="dxa" w:w="1728"/>
          </w:tcPr>
          <w:p>
            <w:pPr>
              <w:spacing w:after="40"/>
            </w:pPr>
            <w:r>
              <w:rPr>
                <w:sz w:val="18"/>
              </w:rPr>
              <w:t>1/1054</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51.4%</w:t>
            </w:r>
          </w:p>
        </w:tc>
        <w:tc>
          <w:tcPr>
            <w:tcW w:type="dxa" w:w="1728"/>
          </w:tcPr>
          <w:p>
            <w:pPr>
              <w:spacing w:after="40"/>
            </w:pPr>
            <w:r>
              <w:rPr>
                <w:sz w:val="18"/>
              </w:rPr>
              <w:t>64.6%</w:t>
            </w:r>
          </w:p>
        </w:tc>
        <w:tc>
          <w:tcPr>
            <w:tcW w:type="dxa" w:w="1728"/>
          </w:tcPr>
          <w:p>
            <w:pPr>
              <w:spacing w:after="40"/>
            </w:pPr>
            <w:r>
              <w:rPr>
                <w:sz w:val="18"/>
              </w:rPr>
              <w:t>2/1054</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 B17/B18's no-evidence cells are derived from the same per-item decisions (phase17/data/family_union_evidence.json); an earlier version printed dashes for them.</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after="40"/>
            </w:pPr>
            <w:r>
              <w:rPr>
                <w:b/>
                <w:sz w:val="18"/>
              </w:rPr>
              <w:t>Group</w:t>
            </w:r>
          </w:p>
        </w:tc>
        <w:tc>
          <w:tcPr>
            <w:tcW w:type="dxa" w:w="864"/>
          </w:tcPr>
          <w:p>
            <w:pPr>
              <w:spacing w:after="40"/>
            </w:pPr>
            <w:r>
              <w:rPr>
                <w:b/>
                <w:sz w:val="18"/>
              </w:rPr>
              <w:t>B12</w:t>
            </w:r>
          </w:p>
        </w:tc>
        <w:tc>
          <w:tcPr>
            <w:tcW w:type="dxa" w:w="864"/>
          </w:tcPr>
          <w:p>
            <w:pPr>
              <w:spacing w:after="40"/>
            </w:pPr>
            <w:r>
              <w:rPr>
                <w:b/>
                <w:sz w:val="18"/>
              </w:rPr>
              <w:t>B13</w:t>
            </w:r>
          </w:p>
        </w:tc>
        <w:tc>
          <w:tcPr>
            <w:tcW w:type="dxa" w:w="864"/>
          </w:tcPr>
          <w:p>
            <w:pPr>
              <w:spacing w:after="40"/>
            </w:pPr>
            <w:r>
              <w:rPr>
                <w:b/>
                <w:sz w:val="18"/>
              </w:rPr>
              <w:t>B14</w:t>
            </w:r>
          </w:p>
        </w:tc>
        <w:tc>
          <w:tcPr>
            <w:tcW w:type="dxa" w:w="864"/>
          </w:tcPr>
          <w:p>
            <w:pPr>
              <w:spacing w:after="40"/>
            </w:pPr>
            <w:r>
              <w:rPr>
                <w:b/>
                <w:sz w:val="18"/>
              </w:rPr>
              <w:t>B15</w:t>
            </w:r>
          </w:p>
        </w:tc>
        <w:tc>
          <w:tcPr>
            <w:tcW w:type="dxa" w:w="864"/>
          </w:tcPr>
          <w:p>
            <w:pPr>
              <w:spacing w:after="40"/>
            </w:pPr>
            <w:r>
              <w:rPr>
                <w:b/>
                <w:sz w:val="18"/>
              </w:rPr>
              <w:t>B17</w:t>
            </w:r>
          </w:p>
        </w:tc>
        <w:tc>
          <w:tcPr>
            <w:tcW w:type="dxa" w:w="864"/>
          </w:tcPr>
          <w:p>
            <w:pPr>
              <w:spacing w:after="40"/>
            </w:pPr>
            <w:r>
              <w:rPr>
                <w:b/>
                <w:sz w:val="18"/>
              </w:rPr>
              <w:t>deberta</w:t>
            </w:r>
          </w:p>
        </w:tc>
        <w:tc>
          <w:tcPr>
            <w:tcW w:type="dxa" w:w="864"/>
          </w:tcPr>
          <w:p>
            <w:pPr>
              <w:spacing w:after="40"/>
            </w:pPr>
            <w:r>
              <w:rPr>
                <w:b/>
                <w:sz w:val="18"/>
              </w:rPr>
              <w:t>Llama Guard 3</w:t>
            </w:r>
          </w:p>
        </w:tc>
        <w:tc>
          <w:tcPr>
            <w:tcW w:type="dxa" w:w="864"/>
          </w:tcPr>
          <w:p>
            <w:pPr>
              <w:spacing w:after="40"/>
            </w:pPr>
            <w:r>
              <w:rPr>
                <w:b/>
                <w:sz w:val="18"/>
              </w:rPr>
              <w:t>LLM prompt (llama3.1)</w:t>
            </w:r>
          </w:p>
        </w:tc>
        <w:tc>
          <w:tcPr>
            <w:tcW w:type="dxa" w:w="864"/>
          </w:tcPr>
          <w:p>
            <w:pPr>
              <w:spacing w:after="40"/>
            </w:pPr>
            <w:r>
              <w:rPr>
                <w:b/>
                <w:sz w:val="18"/>
              </w:rPr>
              <w:t>GPT-2 perplexity</w:t>
            </w:r>
          </w:p>
        </w:tc>
      </w:tr>
      <w:tr>
        <w:tc>
          <w:tcPr>
            <w:tcW w:type="dxa" w:w="864"/>
          </w:tcPr>
          <w:p>
            <w:pPr>
              <w:spacing w:after="40"/>
            </w:pPr>
            <w:r>
              <w:rPr>
                <w:sz w:val="18"/>
              </w:rPr>
              <w:t>Own memory-poisoning attacks (804)</w:t>
            </w:r>
          </w:p>
        </w:tc>
        <w:tc>
          <w:tcPr>
            <w:tcW w:type="dxa" w:w="864"/>
          </w:tcPr>
          <w:p>
            <w:pPr>
              <w:spacing w:after="40"/>
            </w:pPr>
            <w:r>
              <w:rPr>
                <w:sz w:val="18"/>
              </w:rPr>
              <w:t>43.2%</w:t>
            </w:r>
          </w:p>
        </w:tc>
        <w:tc>
          <w:tcPr>
            <w:tcW w:type="dxa" w:w="864"/>
          </w:tcPr>
          <w:p>
            <w:pPr>
              <w:spacing w:after="40"/>
            </w:pPr>
            <w:r>
              <w:rPr>
                <w:sz w:val="18"/>
              </w:rPr>
              <w:t>46.1%</w:t>
            </w:r>
          </w:p>
        </w:tc>
        <w:tc>
          <w:tcPr>
            <w:tcW w:type="dxa" w:w="864"/>
          </w:tcPr>
          <w:p>
            <w:pPr>
              <w:spacing w:after="40"/>
            </w:pPr>
            <w:r>
              <w:rPr>
                <w:sz w:val="18"/>
              </w:rPr>
              <w:t>41.2%</w:t>
            </w:r>
          </w:p>
        </w:tc>
        <w:tc>
          <w:tcPr>
            <w:tcW w:type="dxa" w:w="864"/>
          </w:tcPr>
          <w:p>
            <w:pPr>
              <w:spacing w:after="40"/>
            </w:pPr>
            <w:r>
              <w:rPr>
                <w:sz w:val="18"/>
              </w:rPr>
              <w:t>37.7%</w:t>
            </w:r>
          </w:p>
        </w:tc>
        <w:tc>
          <w:tcPr>
            <w:tcW w:type="dxa" w:w="864"/>
          </w:tcPr>
          <w:p>
            <w:pPr>
              <w:spacing w:after="40"/>
            </w:pPr>
            <w:r>
              <w:rPr>
                <w:sz w:val="18"/>
              </w:rPr>
              <w:t>51.2%</w:t>
            </w:r>
          </w:p>
        </w:tc>
        <w:tc>
          <w:tcPr>
            <w:tcW w:type="dxa" w:w="864"/>
          </w:tcPr>
          <w:p>
            <w:pPr>
              <w:spacing w:after="40"/>
            </w:pPr>
            <w:r>
              <w:rPr>
                <w:sz w:val="18"/>
              </w:rPr>
              <w:t>14.1%</w:t>
            </w:r>
          </w:p>
        </w:tc>
        <w:tc>
          <w:tcPr>
            <w:tcW w:type="dxa" w:w="864"/>
          </w:tcPr>
          <w:p>
            <w:pPr>
              <w:spacing w:after="40"/>
            </w:pPr>
            <w:r>
              <w:rPr>
                <w:sz w:val="18"/>
              </w:rPr>
              <w:t>12.9%</w:t>
            </w:r>
          </w:p>
        </w:tc>
        <w:tc>
          <w:tcPr>
            <w:tcW w:type="dxa" w:w="864"/>
          </w:tcPr>
          <w:p>
            <w:pPr>
              <w:spacing w:after="40"/>
            </w:pPr>
            <w:r>
              <w:rPr>
                <w:sz w:val="18"/>
              </w:rPr>
              <w:t>11.7%</w:t>
            </w:r>
          </w:p>
        </w:tc>
        <w:tc>
          <w:tcPr>
            <w:tcW w:type="dxa" w:w="864"/>
          </w:tcPr>
          <w:p>
            <w:pPr>
              <w:spacing w:after="40"/>
            </w:pPr>
            <w:r>
              <w:rPr>
                <w:sz w:val="18"/>
              </w:rPr>
              <w:t>6.7%</w:t>
            </w:r>
          </w:p>
        </w:tc>
      </w:tr>
      <w:tr>
        <w:tc>
          <w:tcPr>
            <w:tcW w:type="dxa" w:w="864"/>
          </w:tcPr>
          <w:p>
            <w:pPr>
              <w:spacing w:after="40"/>
            </w:pPr>
            <w:r>
              <w:rPr>
                <w:sz w:val="18"/>
              </w:rPr>
              <w:t>External injection corpora (2,724)</w:t>
            </w:r>
          </w:p>
        </w:tc>
        <w:tc>
          <w:tcPr>
            <w:tcW w:type="dxa" w:w="864"/>
          </w:tcPr>
          <w:p>
            <w:pPr>
              <w:spacing w:after="40"/>
            </w:pPr>
            <w:r>
              <w:rPr>
                <w:sz w:val="18"/>
              </w:rPr>
              <w:t>40.5%</w:t>
            </w:r>
          </w:p>
        </w:tc>
        <w:tc>
          <w:tcPr>
            <w:tcW w:type="dxa" w:w="864"/>
          </w:tcPr>
          <w:p>
            <w:pPr>
              <w:spacing w:after="40"/>
            </w:pPr>
            <w:r>
              <w:rPr>
                <w:sz w:val="18"/>
              </w:rPr>
              <w:t>44.4%</w:t>
            </w:r>
          </w:p>
        </w:tc>
        <w:tc>
          <w:tcPr>
            <w:tcW w:type="dxa" w:w="864"/>
          </w:tcPr>
          <w:p>
            <w:pPr>
              <w:spacing w:after="40"/>
            </w:pPr>
            <w:r>
              <w:rPr>
                <w:sz w:val="18"/>
              </w:rPr>
              <w:t>71.0%</w:t>
            </w:r>
          </w:p>
        </w:tc>
        <w:tc>
          <w:tcPr>
            <w:tcW w:type="dxa" w:w="864"/>
          </w:tcPr>
          <w:p>
            <w:pPr>
              <w:spacing w:after="40"/>
            </w:pPr>
            <w:r>
              <w:rPr>
                <w:sz w:val="18"/>
              </w:rPr>
              <w:t>63.4%</w:t>
            </w:r>
          </w:p>
        </w:tc>
        <w:tc>
          <w:tcPr>
            <w:tcW w:type="dxa" w:w="864"/>
          </w:tcPr>
          <w:p>
            <w:pPr>
              <w:spacing w:after="40"/>
            </w:pPr>
            <w:r>
              <w:rPr>
                <w:sz w:val="18"/>
              </w:rPr>
              <w:t>71.3%</w:t>
            </w:r>
          </w:p>
        </w:tc>
        <w:tc>
          <w:tcPr>
            <w:tcW w:type="dxa" w:w="864"/>
          </w:tcPr>
          <w:p>
            <w:pPr>
              <w:spacing w:after="40"/>
            </w:pPr>
            <w:r>
              <w:rPr>
                <w:sz w:val="18"/>
              </w:rPr>
              <w:t>70.4%</w:t>
            </w:r>
          </w:p>
        </w:tc>
        <w:tc>
          <w:tcPr>
            <w:tcW w:type="dxa" w:w="864"/>
          </w:tcPr>
          <w:p>
            <w:pPr>
              <w:spacing w:after="40"/>
            </w:pPr>
            <w:r>
              <w:rPr>
                <w:sz w:val="18"/>
              </w:rPr>
              <w:t>28.2%</w:t>
            </w:r>
          </w:p>
        </w:tc>
        <w:tc>
          <w:tcPr>
            <w:tcW w:type="dxa" w:w="864"/>
          </w:tcPr>
          <w:p>
            <w:pPr>
              <w:spacing w:after="40"/>
            </w:pPr>
            <w:r>
              <w:rPr>
                <w:sz w:val="18"/>
              </w:rPr>
              <w:t>24.4%</w:t>
            </w:r>
          </w:p>
        </w:tc>
        <w:tc>
          <w:tcPr>
            <w:tcW w:type="dxa" w:w="864"/>
          </w:tcPr>
          <w:p>
            <w:pPr>
              <w:spacing w:after="40"/>
            </w:pPr>
            <w:r>
              <w:rPr>
                <w:sz w:val="18"/>
              </w:rPr>
              <w:t>29.6%</w:t>
            </w:r>
          </w:p>
        </w:tc>
      </w:tr>
      <w:tr>
        <w:tc>
          <w:tcPr>
            <w:tcW w:type="dxa" w:w="864"/>
          </w:tcPr>
          <w:p>
            <w:pPr>
              <w:spacing w:after="40"/>
            </w:pPr>
            <w:r>
              <w:rPr>
                <w:sz w:val="18"/>
              </w:rPr>
              <w:t>Ordinary-benign false positives (1,088)</w:t>
            </w:r>
          </w:p>
        </w:tc>
        <w:tc>
          <w:tcPr>
            <w:tcW w:type="dxa" w:w="864"/>
          </w:tcPr>
          <w:p>
            <w:pPr>
              <w:spacing w:after="40"/>
            </w:pPr>
            <w:r>
              <w:rPr>
                <w:sz w:val="18"/>
              </w:rPr>
              <w:t>1/1088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8/1088</w:t>
            </w:r>
          </w:p>
        </w:tc>
        <w:tc>
          <w:tcPr>
            <w:tcW w:type="dxa" w:w="864"/>
          </w:tcPr>
          <w:p>
            <w:pPr>
              <w:spacing w:after="40"/>
            </w:pPr>
            <w:r>
              <w:rPr>
                <w:sz w:val="18"/>
              </w:rPr>
              <w:t>23/1088</w:t>
            </w:r>
          </w:p>
        </w:tc>
        <w:tc>
          <w:tcPr>
            <w:tcW w:type="dxa" w:w="864"/>
          </w:tcPr>
          <w:p>
            <w:pPr>
              <w:spacing w:after="40"/>
            </w:pPr>
            <w:r>
              <w:rPr>
                <w:sz w:val="18"/>
              </w:rPr>
              <w:t>6/1088</w:t>
            </w:r>
          </w:p>
        </w:tc>
        <w:tc>
          <w:tcPr>
            <w:tcW w:type="dxa" w:w="864"/>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 B12 was missing from an earlier version of this table; B18 postdates the artifact and is compared in Sections 8 and 13.</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on ordinary memory (on hold-out 4's memory-shaped benign notes the union pays both components' false positives, Section 13)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spacing w:after="120"/>
      </w:pPr>
      <w:r>
        <w:t>Two diagnoses of that false-positive rate were tested, and both were partly or wholly WRONG. (i) A labelling artifact -- the corpus's 'regular' label means 'not a jailbreak', not 'fit to store as a memory'. An out-of-loop judge finds 82.7% of the benign half is benign-as-a-memory, and restricting to it moves B18 only from 54.9% to 49.0%: the artifact explains about 6 of 55 points. (ii) Corroboration as the source -- an earlier reading of this project's. Per-rule attribution on 200 items shows the content-only detector excluding 86, provenance adding 24 and corroboration 2: the CONTENT detector is the source, not corroboration. HOLD-OUT-INFORMED: those 200 items were drawn as 'development' data later shown to be hold-out 3 prompts under another wrapper (Section 10C), so this attribution was measured on the hold-out's own distribution.</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(corroboration with evidence proved more brittle, 22/48, Section 13B),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Process errors, stated where they could mislead a reader. One table testing whether the content detector drives false positives was first published without B12 -- the content-only configuration it was testing; every configuration table in this document now carries a B12 row, and a guard test fails the build if one does not. The others (a trigger-activated attack probed outside its trigger five times, a ledger fit that measured the wrong distribution, a cleanup script that killed its own caller, a guard that matched its own docstring, corroboration left inert in a round of tables, a computed arm never reported, a thread-unsafe cache, GPU contention) each have a guard proven by mutation testing (phase17/data/error_registry.json).</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As of round 6 no configuration had more than one clean estimate; round 7 added five single-use hold-outs (Section 13), giving B12-B18 three clean memory-poisoning estimates (hold-outs 4, 7, 8) and two clean injection estimates (hold-outs 5, 6).</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is brittle to an attacker told why it was rejected: 22 of 48 seeds evaded within five rewrites, against 32/130 for stateless detection (Fisher p=0.0096), by light paraphrase -- so against a retry-capable attacker it needs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3.7% of hold-out 7's benign notes even as the user's own words (4.9% on its owner-matched subset),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was larger on a stronger agent: Gemini 44.2% -&gt; 11.7% against qwen at 50.8% -&gt; 30.0% on all 120 dev items (32.5 against 20.8 points).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(5) RETRIEVAL ranking: run the consensus guard with SEMANTIC divergence, not its shipped lexical default. Against coordinated campaigns -- a poison plus two paraphrases -- the semantic gate kept any copy out of the agent's context in 36 more of 302 cases (p=3e-11) at 2.78 points of benign displacement, where the lexical default did nothing. Against a single poison the guard is inert by design (a single memory is never a cluster); there, provenance corroboration supplied to the ranking is what helps. Measured on development data and fresh stores, not on a hold-out. It is a trade, not a free gain: on Phase 6's own hand-authored corpus the semantic variants raise detection (B8 70.6% -&gt; B8s 100.0%) and double benign false positives (7.3% -&gt; 14.6% of 41). They ship as B2s-B8s beside the unchanged originals, so every number measured with the lexical default stays reproducible.</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and at the recommended radius 0.95 carries a 6.4% ledger-poisoning blast radius (29.7% at 0.90); it does nothing against a single-shot attacker, one who distributes attempts across isolated scopes, or one who waits out the ledger time-to-live. (ii) Exfiltration is a tested mechanism whose harm is zero for every agent family tried; that is a finding about 7-8B assistants. (iii) Hold-out 4 covers note-shaped poisoning only (its safety-tuned author inverted the instruction-shaped families); hold-out 7 adds instruction-shaped attacks but its working subset is not reportable, and hold-out 8 tests conditional backdoors (Section 13E). Hold-out 5 has 131 attacks, so its rates carry about +/-8 points. The stronger-agent comparison rests on 120 development items. (iv) The first three hold-outs are prompt-injection or jailbreak corpora; hold-outs 4, 7 and 8 are the memory-poisoning hold-outs. (v) The judges were checked against two annotators. (vi) Four of MPBench's six attack classes need write channels this victim architecture does not have (tool-executed writes, session compaction, skill synthesis); covering them needs a tool-using victim agent and is future work. (vii) No licence has been attached to the benchmark, which is a deliberate deferral by the owner.</w:t>
      </w:r>
    </w:p>
    <w:p>
      <w:pPr>
        <w:pStyle w:val="Heading1"/>
      </w:pPr>
      <w:r>
        <w:t>12. Conclusion</w:t>
      </w:r>
    </w:p>
    <w:p>
      <w:pPr>
        <w:spacing w:after="120"/>
      </w:pPr>
      <w:r>
        <w:t>The central result of these five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New Clean Hold-Outs, a Composition, and What Did Not Generalise</w:t>
      </w:r>
    </w:p>
    <w:p>
      <w:pPr>
        <w:spacing w:after="120"/>
      </w:pPr>
      <w:r>
        <w:t>Round 7 retired hold-out 3 (scored seven times, one pre-registered, and its development set shown to be the hold-out itself: Section 10C) and built new corpora -- hold-outs 4 and 5 in this section, 6 and 7 in Section 13A -- each frozen before any configuration was scored and each scored exactly ONCE under predictions committed beforehand (docs/phase17/PREREGISTRATION_ROUND7.md, plus addenda, each committed before the scoring it governs; the first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Re-tested with more data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real but small (Table 17 gives its multiplicity-corrected p).</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A third approach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stayed useful (68/79 answers used them, vs 70 raw and 34 excluded). The cost is real: on the 109 corroboration-only attacks the agent asserted the poisoned claim 14 times framed vs 2 excluded (p=0.0018) and 40 raw -- the frame removes about two thirds of the raw effect, not all of it. It is a trade, offered as an option for deployments where false exclusions cost more than a minority of framed fabrications; hold-out 8 tests it once (Section 13E).</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(since measured: about half, Section 13B); harm REDUCTIONS are more robust because both arms share a judge; detection and false-positive results use no judge at all.</w:t>
      </w:r>
    </w:p>
    <w:p>
      <w:pPr>
        <w:spacing w:after="120"/>
      </w:pPr>
      <w:r>
        <w:t>A second annotator -- a friend of the author, labelling on the author's laptop -- then labelled the same 100 items, instructed not to look at the first annotator's labels or the judges' answers (compliance with that instruction is not verifiable from the records, and the annotator is not independent of the author). The two people agreed on 95% of items (kappa 0.834); on compliance 88% (kappa 0.731). Their harm and mechanism labels were identical, but this is largely a ceiling: harm was YES on 36/40 items for both and mechanism YES on all 20 (kappa undefined), so identical labels say less than the 100% suggests. What the second annotator settles is the direction of the harm disagreement: the original harm judge missed the same 16 harms against the second person (kappa 0.2), so 'one generous annotator' is no longer a sufficient explanation -- the judge under-calls harm. The adopted judge J2, chosen on the first annotator's labels, scores kappa 0.688 against the second; because the two people's harm labels coincide, this replicates rather than independently re-tests the selection.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Comparison</w:t>
            </w:r>
          </w:p>
        </w:tc>
        <w:tc>
          <w:tcPr>
            <w:tcW w:type="dxa" w:w="1728"/>
          </w:tcPr>
          <w:p>
            <w:pPr>
              <w:spacing w:after="40"/>
            </w:pPr>
            <w:r>
              <w:rPr>
                <w:b/>
                <w:sz w:val="18"/>
              </w:rPr>
              <w:t>Type</w:t>
            </w:r>
          </w:p>
        </w:tc>
        <w:tc>
          <w:tcPr>
            <w:tcW w:type="dxa" w:w="1728"/>
          </w:tcPr>
          <w:p>
            <w:pPr>
              <w:spacing w:after="40"/>
            </w:pPr>
            <w:r>
              <w:rPr>
                <w:b/>
                <w:sz w:val="18"/>
              </w:rPr>
              <w:t>n</w:t>
            </w:r>
          </w:p>
        </w:tc>
        <w:tc>
          <w:tcPr>
            <w:tcW w:type="dxa" w:w="1728"/>
          </w:tcPr>
          <w:p>
            <w:pPr>
              <w:spacing w:after="40"/>
            </w:pPr>
            <w:r>
              <w:rPr>
                <w:b/>
                <w:sz w:val="18"/>
              </w:rPr>
              <w:t>Agreement</w:t>
            </w:r>
          </w:p>
        </w:tc>
        <w:tc>
          <w:tcPr>
            <w:tcW w:type="dxa" w:w="1728"/>
          </w:tcPr>
          <w:p>
            <w:pPr>
              <w:spacing w:after="40"/>
            </w:pPr>
            <w:r>
              <w:rPr>
                <w:b/>
                <w:sz w:val="18"/>
              </w:rPr>
              <w:t>Cohen's kappa</w:t>
            </w:r>
          </w:p>
        </w:tc>
      </w:tr>
      <w:tr>
        <w:tc>
          <w:tcPr>
            <w:tcW w:type="dxa" w:w="1728"/>
          </w:tcPr>
          <w:p>
            <w:pPr>
              <w:spacing w:after="40"/>
            </w:pPr>
            <w:r>
              <w:rPr>
                <w:sz w:val="18"/>
              </w:rPr>
              <w:t>Annotator 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87.5%</w:t>
            </w:r>
          </w:p>
        </w:tc>
        <w:tc>
          <w:tcPr>
            <w:tcW w:type="dxa" w:w="1728"/>
          </w:tcPr>
          <w:p>
            <w:pPr>
              <w:spacing w:after="40"/>
            </w:pPr>
            <w:r>
              <w:rPr>
                <w:sz w:val="18"/>
              </w:rPr>
              <w:t>0.731</w:t>
            </w:r>
          </w:p>
        </w:tc>
      </w:tr>
      <w:tr>
        <w:tc>
          <w:tcPr>
            <w:tcW w:type="dxa" w:w="1728"/>
          </w:tcPr>
          <w:p>
            <w:pPr>
              <w:spacing w:after="40"/>
            </w:pPr>
            <w:r>
              <w:rPr>
                <w:sz w:val="18"/>
              </w:rPr>
              <w:t>Annotator 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100.0%</w:t>
            </w:r>
          </w:p>
        </w:tc>
        <w:tc>
          <w:tcPr>
            <w:tcW w:type="dxa" w:w="1728"/>
          </w:tcPr>
          <w:p>
            <w:pPr>
              <w:spacing w:after="40"/>
            </w:pPr>
            <w:r>
              <w:rPr>
                <w:sz w:val="18"/>
              </w:rPr>
              <w:t>1.0</w:t>
            </w:r>
          </w:p>
        </w:tc>
      </w:tr>
      <w:tr>
        <w:tc>
          <w:tcPr>
            <w:tcW w:type="dxa" w:w="1728"/>
          </w:tcPr>
          <w:p>
            <w:pPr>
              <w:spacing w:after="40"/>
            </w:pPr>
            <w:r>
              <w:rPr>
                <w:sz w:val="18"/>
              </w:rPr>
              <w:t>Annotator 1 vs annotator 2</w:t>
            </w:r>
          </w:p>
        </w:tc>
        <w:tc>
          <w:tcPr>
            <w:tcW w:type="dxa" w:w="1728"/>
          </w:tcPr>
          <w:p>
            <w:pPr>
              <w:spacing w:after="40"/>
            </w:pPr>
            <w:r>
              <w:rPr>
                <w:sz w:val="18"/>
              </w:rPr>
              <w:t>mechanism</w:t>
            </w:r>
          </w:p>
        </w:tc>
        <w:tc>
          <w:tcPr>
            <w:tcW w:type="dxa" w:w="1728"/>
          </w:tcPr>
          <w:p>
            <w:pPr>
              <w:spacing w:after="40"/>
            </w:pPr>
            <w:r>
              <w:rPr>
                <w:sz w:val="18"/>
              </w:rPr>
              <w:t>20</w:t>
            </w:r>
          </w:p>
        </w:tc>
        <w:tc>
          <w:tcPr>
            <w:tcW w:type="dxa" w:w="1728"/>
          </w:tcPr>
          <w:p>
            <w:pPr>
              <w:spacing w:after="40"/>
            </w:pPr>
            <w:r>
              <w:rPr>
                <w:sz w:val="18"/>
              </w:rPr>
              <w:t>100.0%</w:t>
            </w:r>
          </w:p>
        </w:tc>
        <w:tc>
          <w:tcPr>
            <w:tcW w:type="dxa" w:w="1728"/>
          </w:tcPr>
          <w:p>
            <w:pPr>
              <w:spacing w:after="40"/>
            </w:pPr>
            <w:r>
              <w:rPr>
                <w:sz w:val="18"/>
              </w:rPr>
              <w:t>undefined (all YES)</w:t>
            </w:r>
          </w:p>
        </w:tc>
      </w:tr>
      <w:tr>
        <w:tc>
          <w:tcPr>
            <w:tcW w:type="dxa" w:w="1728"/>
          </w:tcPr>
          <w:p>
            <w:pPr>
              <w:spacing w:after="40"/>
            </w:pPr>
            <w:r>
              <w:rPr>
                <w:sz w:val="18"/>
              </w:rPr>
              <w:t>Annotator 1 vs annotator 2</w:t>
            </w:r>
          </w:p>
        </w:tc>
        <w:tc>
          <w:tcPr>
            <w:tcW w:type="dxa" w:w="1728"/>
          </w:tcPr>
          <w:p>
            <w:pPr>
              <w:spacing w:after="40"/>
            </w:pPr>
            <w:r>
              <w:rPr>
                <w:sz w:val="18"/>
              </w:rPr>
              <w:t>ALL</w:t>
            </w:r>
          </w:p>
        </w:tc>
        <w:tc>
          <w:tcPr>
            <w:tcW w:type="dxa" w:w="1728"/>
          </w:tcPr>
          <w:p>
            <w:pPr>
              <w:spacing w:after="40"/>
            </w:pPr>
            <w:r>
              <w:rPr>
                <w:sz w:val="18"/>
              </w:rPr>
              <w:t>100</w:t>
            </w:r>
          </w:p>
        </w:tc>
        <w:tc>
          <w:tcPr>
            <w:tcW w:type="dxa" w:w="1728"/>
          </w:tcPr>
          <w:p>
            <w:pPr>
              <w:spacing w:after="40"/>
            </w:pPr>
            <w:r>
              <w:rPr>
                <w:sz w:val="18"/>
              </w:rPr>
              <w:t>95.0%</w:t>
            </w:r>
          </w:p>
        </w:tc>
        <w:tc>
          <w:tcPr>
            <w:tcW w:type="dxa" w:w="1728"/>
          </w:tcPr>
          <w:p>
            <w:pPr>
              <w:spacing w:after="40"/>
            </w:pPr>
            <w:r>
              <w:rPr>
                <w:sz w:val="18"/>
              </w:rPr>
              <w:t>0.834</w:t>
            </w:r>
          </w:p>
        </w:tc>
      </w:tr>
      <w:tr>
        <w:tc>
          <w:tcPr>
            <w:tcW w:type="dxa" w:w="1728"/>
          </w:tcPr>
          <w:p>
            <w:pPr>
              <w:spacing w:after="40"/>
            </w:pPr>
            <w:r>
              <w:rPr>
                <w:sz w:val="18"/>
              </w:rPr>
              <w:t>Compliance judge (llama3.1)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77.5%</w:t>
            </w:r>
          </w:p>
        </w:tc>
        <w:tc>
          <w:tcPr>
            <w:tcW w:type="dxa" w:w="1728"/>
          </w:tcPr>
          <w:p>
            <w:pPr>
              <w:spacing w:after="40"/>
            </w:pPr>
            <w:r>
              <w:rPr>
                <w:sz w:val="18"/>
              </w:rPr>
              <w:t>0.55</w:t>
            </w:r>
          </w:p>
        </w:tc>
      </w:tr>
      <w:tr>
        <w:tc>
          <w:tcPr>
            <w:tcW w:type="dxa" w:w="1728"/>
          </w:tcPr>
          <w:p>
            <w:pPr>
              <w:spacing w:after="40"/>
            </w:pPr>
            <w:r>
              <w:rPr>
                <w:sz w:val="18"/>
              </w:rPr>
              <w:t>Original harm judge (J0)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60.0%</w:t>
            </w:r>
          </w:p>
        </w:tc>
        <w:tc>
          <w:tcPr>
            <w:tcW w:type="dxa" w:w="1728"/>
          </w:tcPr>
          <w:p>
            <w:pPr>
              <w:spacing w:after="40"/>
            </w:pPr>
            <w:r>
              <w:rPr>
                <w:sz w:val="18"/>
              </w:rPr>
              <w:t>0.2</w:t>
            </w:r>
          </w:p>
        </w:tc>
      </w:tr>
      <w:tr>
        <w:tc>
          <w:tcPr>
            <w:tcW w:type="dxa" w:w="1728"/>
          </w:tcPr>
          <w:p>
            <w:pPr>
              <w:spacing w:after="40"/>
            </w:pPr>
            <w:r>
              <w:rPr>
                <w:sz w:val="18"/>
              </w:rPr>
              <w:t>Rubric harm judge (J1)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80.0%</w:t>
            </w:r>
          </w:p>
        </w:tc>
        <w:tc>
          <w:tcPr>
            <w:tcW w:type="dxa" w:w="1728"/>
          </w:tcPr>
          <w:p>
            <w:pPr>
              <w:spacing w:after="40"/>
            </w:pPr>
            <w:r>
              <w:rPr>
                <w:sz w:val="18"/>
              </w:rPr>
              <w:t>0.412</w:t>
            </w:r>
          </w:p>
        </w:tc>
      </w:tr>
      <w:tr>
        <w:tc>
          <w:tcPr>
            <w:tcW w:type="dxa" w:w="1728"/>
          </w:tcPr>
          <w:p>
            <w:pPr>
              <w:spacing w:after="40"/>
            </w:pPr>
            <w:r>
              <w:rPr>
                <w:sz w:val="18"/>
              </w:rPr>
              <w:t>Adopted harm judge (J2)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92.5%</w:t>
            </w:r>
          </w:p>
        </w:tc>
        <w:tc>
          <w:tcPr>
            <w:tcW w:type="dxa" w:w="1728"/>
          </w:tcPr>
          <w:p>
            <w:pPr>
              <w:spacing w:after="40"/>
            </w:pPr>
            <w:r>
              <w:rPr>
                <w:sz w:val="18"/>
              </w:rPr>
              <w:t>0.688</w:t>
            </w:r>
          </w:p>
        </w:tc>
      </w:tr>
    </w:tbl>
    <w:p>
      <w:pPr>
        <w:spacing w:after="200"/>
      </w:pPr>
      <w:r>
        <w:rPr>
          <w:i/>
          <w:sz w:val="18"/>
        </w:rPr>
        <w:t>Table 15A. Two annotators (the author; the author's friend, blind to the judges by written instruction), and the judges against the second. Identical harm and mechanism labels reflect a ceiling (harm YES on 36/40 items, mechanism on 20/20). Source: phase17/data/human_label_agreement_annotator2.json.</w:t>
      </w:r>
    </w:p>
    <w:p>
      <w:pPr>
        <w:spacing w:after="120"/>
      </w:pPr>
      <w:r>
        <w:t>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Compliance results therefore rest on a judge at kappa 0.596 against people who agree with each other at about 0.731.</w:t>
      </w:r>
    </w:p>
    <w:p>
      <w:pPr>
        <w:spacing w:after="120"/>
      </w:pPr>
      <w:r>
        <w:t>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were untested on a clean hold-out at that point; hold-out 8 later tested them (Section 13E), and their ACTIVATION was first measured with a real trigger in the remediation experiment SA-1 (Section 15).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16.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r>
        <w:drawing>
          <wp:inline xmlns:a="http://schemas.openxmlformats.org/drawingml/2006/main" xmlns:pic="http://schemas.openxmlformats.org/drawingml/2006/picture">
            <wp:extent cx="5760720" cy="3744468"/>
            <wp:docPr id="1" name="Picture 1"/>
            <wp:cNvGraphicFramePr>
              <a:graphicFrameLocks noChangeAspect="1"/>
            </wp:cNvGraphicFramePr>
            <a:graphic>
              <a:graphicData uri="http://schemas.openxmlformats.org/drawingml/2006/picture">
                <pic:pic>
                  <pic:nvPicPr>
                    <pic:cNvPr id="0" name="R1_holdouts_recall_vs_fpr.png"/>
                    <pic:cNvPicPr/>
                  </pic:nvPicPr>
                  <pic:blipFill>
                    <a:blip r:embed="rId9"/>
                    <a:stretch>
                      <a:fillRect/>
                    </a:stretch>
                  </pic:blipFill>
                  <pic:spPr>
                    <a:xfrm>
                      <a:off x="0" y="0"/>
                      <a:ext cx="5760720" cy="3744468"/>
                    </a:xfrm>
                    <a:prstGeom prst="rect"/>
                  </pic:spPr>
                </pic:pic>
              </a:graphicData>
            </a:graphic>
          </wp:inline>
        </w:drawing>
      </w:r>
    </w:p>
    <w:p>
      <w:pPr>
        <w:spacing w:after="200"/>
      </w:pPr>
      <w:r>
        <w:rPr>
          <w:i/>
          <w:sz w:val="18"/>
        </w:rPr>
        <w:t>Figure 1. Every configuration on hold-outs 4-8, each scored once: attack recall against the false-positive rate on benign text (matched benign for the injection hold-outs 5 and 6; untrusted-channel benign notes for the memory-poisoning hold-outs 4, 7 and 8). Drawn from the artifacts at build time.</w:t>
      </w:r>
    </w:p>
    <w:p>
      <w:pPr>
        <w:spacing w:after="120"/>
      </w:pPr>
      <w:r>
        <w:t>Hold-out 7 replicates hold-out 4's central result with a different author family (a base model, not a safety-tuned one) and a third owner: provenance-aware admission reaches 70/129 memory-poisoning attacks against 38/129 for the fused content classifier (+35/-3, p=6.7e-08), with 0.0% false positives on the user's own words but 15.3% on untrusted channels -- higher than hold-out 4's, and the cost to state beside the recall.</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Prediction</w:t>
            </w:r>
          </w:p>
        </w:tc>
        <w:tc>
          <w:tcPr>
            <w:tcW w:type="dxa" w:w="2160"/>
          </w:tcPr>
          <w:p>
            <w:pPr>
              <w:spacing w:after="40"/>
            </w:pPr>
            <w:r>
              <w:rPr>
                <w:b/>
                <w:sz w:val="18"/>
              </w:rPr>
              <w:t>Outcome</w:t>
            </w:r>
          </w:p>
        </w:tc>
        <w:tc>
          <w:tcPr>
            <w:tcW w:type="dxa" w:w="2160"/>
          </w:tcPr>
          <w:p>
            <w:pPr>
              <w:spacing w:after="40"/>
            </w:pPr>
            <w:r>
              <w:rPr>
                <w:b/>
                <w:sz w:val="18"/>
              </w:rPr>
              <w:t>Measured</w:t>
            </w:r>
          </w:p>
        </w:tc>
        <w:tc>
          <w:tcPr>
            <w:tcW w:type="dxa" w:w="2160"/>
          </w:tcPr>
          <w:p>
            <w:pPr>
              <w:spacing w:after="40"/>
            </w:pPr>
            <w:r>
              <w:rPr>
                <w:b/>
                <w:sz w:val="18"/>
              </w:rPr>
              <w:t>Holm-adjusted p</w:t>
            </w:r>
          </w:p>
        </w:tc>
      </w:tr>
      <w:tr>
        <w:tc>
          <w:tcPr>
            <w:tcW w:type="dxa" w:w="2160"/>
          </w:tcPr>
          <w:p>
            <w:pPr>
              <w:spacing w:after="40"/>
            </w:pPr>
            <w:r>
              <w:rPr>
                <w:sz w:val="18"/>
              </w:rPr>
              <w:t>H5-1: B17 matched-benign FPR in 2-12%</w:t>
            </w:r>
          </w:p>
        </w:tc>
        <w:tc>
          <w:tcPr>
            <w:tcW w:type="dxa" w:w="2160"/>
          </w:tcPr>
          <w:p>
            <w:pPr>
              <w:spacing w:after="40"/>
            </w:pPr>
            <w:r>
              <w:rPr>
                <w:sz w:val="18"/>
              </w:rPr>
              <w:t>HELD</w:t>
            </w:r>
          </w:p>
        </w:tc>
        <w:tc>
          <w:tcPr>
            <w:tcW w:type="dxa" w:w="2160"/>
          </w:tcPr>
          <w:p>
            <w:pPr>
              <w:spacing w:after="40"/>
            </w:pPr>
            <w:r>
              <w:rPr>
                <w:sz w:val="18"/>
              </w:rPr>
              <w:t>10.2%</w:t>
            </w:r>
          </w:p>
        </w:tc>
        <w:tc>
          <w:tcPr>
            <w:tcW w:type="dxa" w:w="2160"/>
          </w:tcPr>
          <w:p>
            <w:pPr>
              <w:spacing w:after="40"/>
            </w:pPr>
            <w:r>
              <w:rPr>
                <w:sz w:val="18"/>
              </w:rPr>
              <w:t>-</w:t>
            </w:r>
          </w:p>
        </w:tc>
      </w:tr>
      <w:tr>
        <w:tc>
          <w:tcPr>
            <w:tcW w:type="dxa" w:w="2160"/>
          </w:tcPr>
          <w:p>
            <w:pPr>
              <w:spacing w:after="40"/>
            </w:pPr>
            <w:r>
              <w:rPr>
                <w:sz w:val="18"/>
              </w:rPr>
              <w:t>H5-2: B13 matched-benign FPR in 0.5-6%</w:t>
            </w:r>
          </w:p>
        </w:tc>
        <w:tc>
          <w:tcPr>
            <w:tcW w:type="dxa" w:w="2160"/>
          </w:tcPr>
          <w:p>
            <w:pPr>
              <w:spacing w:after="40"/>
            </w:pPr>
            <w:r>
              <w:rPr>
                <w:sz w:val="18"/>
              </w:rPr>
              <w:t>HELD</w:t>
            </w:r>
          </w:p>
        </w:tc>
        <w:tc>
          <w:tcPr>
            <w:tcW w:type="dxa" w:w="2160"/>
          </w:tcPr>
          <w:p>
            <w:pPr>
              <w:spacing w:after="40"/>
            </w:pPr>
            <w:r>
              <w:rPr>
                <w:sz w:val="18"/>
              </w:rPr>
              <w:t>5.1%</w:t>
            </w:r>
          </w:p>
        </w:tc>
        <w:tc>
          <w:tcPr>
            <w:tcW w:type="dxa" w:w="2160"/>
          </w:tcPr>
          <w:p>
            <w:pPr>
              <w:spacing w:after="40"/>
            </w:pPr>
            <w:r>
              <w:rPr>
                <w:sz w:val="18"/>
              </w:rPr>
              <w:t>-</w:t>
            </w:r>
          </w:p>
        </w:tc>
      </w:tr>
      <w:tr>
        <w:tc>
          <w:tcPr>
            <w:tcW w:type="dxa" w:w="2160"/>
          </w:tcPr>
          <w:p>
            <w:pPr>
              <w:spacing w:after="40"/>
            </w:pPr>
            <w:r>
              <w:rPr>
                <w:sz w:val="18"/>
              </w:rPr>
              <w:t>H5-3: B18 recall in 55-90%</w:t>
            </w:r>
          </w:p>
        </w:tc>
        <w:tc>
          <w:tcPr>
            <w:tcW w:type="dxa" w:w="2160"/>
          </w:tcPr>
          <w:p>
            <w:pPr>
              <w:spacing w:after="40"/>
            </w:pPr>
            <w:r>
              <w:rPr>
                <w:sz w:val="18"/>
              </w:rPr>
              <w:t>FAILED</w:t>
            </w:r>
          </w:p>
        </w:tc>
        <w:tc>
          <w:tcPr>
            <w:tcW w:type="dxa" w:w="2160"/>
          </w:tcPr>
          <w:p>
            <w:pPr>
              <w:spacing w:after="40"/>
            </w:pPr>
            <w:r>
              <w:rPr>
                <w:sz w:val="18"/>
              </w:rPr>
              <w:t>90.1%</w:t>
            </w:r>
          </w:p>
        </w:tc>
        <w:tc>
          <w:tcPr>
            <w:tcW w:type="dxa" w:w="2160"/>
          </w:tcPr>
          <w:p>
            <w:pPr>
              <w:spacing w:after="40"/>
            </w:pPr>
            <w:r>
              <w:rPr>
                <w:sz w:val="18"/>
              </w:rPr>
              <w:t>-</w:t>
            </w:r>
          </w:p>
        </w:tc>
      </w:tr>
      <w:tr>
        <w:tc>
          <w:tcPr>
            <w:tcW w:type="dxa" w:w="2160"/>
          </w:tcPr>
          <w:p>
            <w:pPr>
              <w:spacing w:after="40"/>
            </w:pPr>
            <w:r>
              <w:rPr>
                <w:sz w:val="18"/>
              </w:rPr>
              <w:t>H5-4: B18 recall &gt;= B17</w:t>
            </w:r>
          </w:p>
        </w:tc>
        <w:tc>
          <w:tcPr>
            <w:tcW w:type="dxa" w:w="2160"/>
          </w:tcPr>
          <w:p>
            <w:pPr>
              <w:spacing w:after="40"/>
            </w:pPr>
            <w:r>
              <w:rPr>
                <w:sz w:val="18"/>
              </w:rPr>
              <w:t>HELD</w:t>
            </w:r>
          </w:p>
        </w:tc>
        <w:tc>
          <w:tcPr>
            <w:tcW w:type="dxa" w:w="2160"/>
          </w:tcPr>
          <w:p>
            <w:pPr>
              <w:spacing w:after="40"/>
            </w:pPr>
            <w:r>
              <w:rPr>
                <w:sz w:val="18"/>
              </w:rPr>
              <w:t>90.1% vs 90.1%</w:t>
            </w:r>
          </w:p>
        </w:tc>
        <w:tc>
          <w:tcPr>
            <w:tcW w:type="dxa" w:w="2160"/>
          </w:tcPr>
          <w:p>
            <w:pPr>
              <w:spacing w:after="40"/>
            </w:pPr>
            <w:r>
              <w:rPr>
                <w:sz w:val="18"/>
              </w:rPr>
              <w:t>-</w:t>
            </w:r>
          </w:p>
        </w:tc>
      </w:tr>
      <w:tr>
        <w:tc>
          <w:tcPr>
            <w:tcW w:type="dxa" w:w="2160"/>
          </w:tcPr>
          <w:p>
            <w:pPr>
              <w:spacing w:after="40"/>
            </w:pPr>
            <w:r>
              <w:rPr>
                <w:sz w:val="18"/>
              </w:rPr>
              <w:t>H5-5: P1 cuts compliance vs P0, p&lt;0.05</w:t>
            </w:r>
          </w:p>
        </w:tc>
        <w:tc>
          <w:tcPr>
            <w:tcW w:type="dxa" w:w="2160"/>
          </w:tcPr>
          <w:p>
            <w:pPr>
              <w:spacing w:after="40"/>
            </w:pPr>
            <w:r>
              <w:rPr>
                <w:sz w:val="18"/>
              </w:rPr>
              <w:t>HELD</w:t>
            </w:r>
          </w:p>
        </w:tc>
        <w:tc>
          <w:tcPr>
            <w:tcW w:type="dxa" w:w="2160"/>
          </w:tcPr>
          <w:p>
            <w:pPr>
              <w:spacing w:after="40"/>
            </w:pPr>
            <w:r>
              <w:rPr>
                <w:sz w:val="18"/>
              </w:rPr>
              <w:t>37.4% -&gt; 18.3%, p=2.2e-05</w:t>
            </w:r>
          </w:p>
        </w:tc>
        <w:tc>
          <w:tcPr>
            <w:tcW w:type="dxa" w:w="2160"/>
          </w:tcPr>
          <w:p>
            <w:pPr>
              <w:spacing w:after="40"/>
            </w:pPr>
            <w:r>
              <w:rPr>
                <w:sz w:val="18"/>
              </w:rPr>
              <w:t>0.00024</w:t>
            </w:r>
          </w:p>
        </w:tc>
      </w:tr>
      <w:tr>
        <w:tc>
          <w:tcPr>
            <w:tcW w:type="dxa" w:w="2160"/>
          </w:tcPr>
          <w:p>
            <w:pPr>
              <w:spacing w:after="40"/>
            </w:pPr>
            <w:r>
              <w:rPr>
                <w:sz w:val="18"/>
              </w:rPr>
              <w:t>H5-6: PRIMARY: P4(B12) harm &lt; P2(B12) harm, p&lt;0.05</w:t>
            </w:r>
          </w:p>
        </w:tc>
        <w:tc>
          <w:tcPr>
            <w:tcW w:type="dxa" w:w="2160"/>
          </w:tcPr>
          <w:p>
            <w:pPr>
              <w:spacing w:after="40"/>
            </w:pPr>
            <w:r>
              <w:rPr>
                <w:sz w:val="18"/>
              </w:rPr>
              <w:t>FAILED</w:t>
            </w:r>
          </w:p>
        </w:tc>
        <w:tc>
          <w:tcPr>
            <w:tcW w:type="dxa" w:w="2160"/>
          </w:tcPr>
          <w:p>
            <w:pPr>
              <w:spacing w:after="40"/>
            </w:pPr>
            <w:r>
              <w:rPr>
                <w:sz w:val="18"/>
              </w:rPr>
              <w:t>20 -&gt; 15 of 131, p=0.23</w:t>
            </w:r>
          </w:p>
        </w:tc>
        <w:tc>
          <w:tcPr>
            <w:tcW w:type="dxa" w:w="2160"/>
          </w:tcPr>
          <w:p>
            <w:pPr>
              <w:spacing w:after="40"/>
            </w:pPr>
            <w:r>
              <w:rPr>
                <w:sz w:val="18"/>
              </w:rPr>
              <w:t>0.69</w:t>
            </w:r>
          </w:p>
        </w:tc>
      </w:tr>
      <w:tr>
        <w:tc>
          <w:tcPr>
            <w:tcW w:type="dxa" w:w="2160"/>
          </w:tcPr>
          <w:p>
            <w:pPr>
              <w:spacing w:after="40"/>
            </w:pPr>
            <w:r>
              <w:rPr>
                <w:sz w:val="18"/>
              </w:rPr>
              <w:t>H5-7: P4(B12) harm &lt;= P2(B18) harm at lower benign exclusion</w:t>
            </w:r>
          </w:p>
        </w:tc>
        <w:tc>
          <w:tcPr>
            <w:tcW w:type="dxa" w:w="2160"/>
          </w:tcPr>
          <w:p>
            <w:pPr>
              <w:spacing w:after="40"/>
            </w:pPr>
            <w:r>
              <w:rPr>
                <w:sz w:val="18"/>
              </w:rPr>
              <w:t>FAILED</w:t>
            </w:r>
          </w:p>
        </w:tc>
        <w:tc>
          <w:tcPr>
            <w:tcW w:type="dxa" w:w="2160"/>
          </w:tcPr>
          <w:p>
            <w:pPr>
              <w:spacing w:after="40"/>
            </w:pPr>
            <w:r>
              <w:rPr>
                <w:sz w:val="18"/>
              </w:rPr>
              <w:t>P4(B12) 11.5% at 2.6% excluded; P2(B18) 4.6% at 11.0%</w:t>
            </w:r>
          </w:p>
        </w:tc>
        <w:tc>
          <w:tcPr>
            <w:tcW w:type="dxa" w:w="2160"/>
          </w:tcPr>
          <w:p>
            <w:pPr>
              <w:spacing w:after="40"/>
            </w:pPr>
            <w:r>
              <w:rPr>
                <w:sz w:val="18"/>
              </w:rPr>
              <w:t>-</w:t>
            </w:r>
          </w:p>
        </w:tc>
      </w:tr>
      <w:tr>
        <w:tc>
          <w:tcPr>
            <w:tcW w:type="dxa" w:w="2160"/>
          </w:tcPr>
          <w:p>
            <w:pPr>
              <w:spacing w:after="40"/>
            </w:pPr>
            <w:r>
              <w:rPr>
                <w:sz w:val="18"/>
              </w:rPr>
              <w:t>H5-8: P4(B18) vs P2(B18) -- descriptive only (refused by require_power)</w:t>
            </w:r>
          </w:p>
        </w:tc>
        <w:tc>
          <w:tcPr>
            <w:tcW w:type="dxa" w:w="2160"/>
          </w:tcPr>
          <w:p>
            <w:pPr>
              <w:spacing w:after="40"/>
            </w:pPr>
            <w:r>
              <w:rPr>
                <w:sz w:val="18"/>
              </w:rPr>
              <w:t>DESCRIPTIVE</w:t>
            </w:r>
          </w:p>
        </w:tc>
        <w:tc>
          <w:tcPr>
            <w:tcW w:type="dxa" w:w="2160"/>
          </w:tcPr>
          <w:p>
            <w:pPr>
              <w:spacing w:after="40"/>
            </w:pPr>
            <w:r>
              <w:rPr>
                <w:sz w:val="18"/>
              </w:rPr>
              <w:t>6 -&gt; 4; paired {'n': 131, 'detected_a': 4, 'detected_b': 6, 'only_a': 1, 'only_b': 3, 'p_exact': 0.625}</w:t>
            </w:r>
          </w:p>
        </w:tc>
        <w:tc>
          <w:tcPr>
            <w:tcW w:type="dxa" w:w="2160"/>
          </w:tcPr>
          <w:p>
            <w:pPr>
              <w:spacing w:after="40"/>
            </w:pPr>
            <w:r>
              <w:rPr>
                <w:sz w:val="18"/>
              </w:rPr>
              <w:t>-</w:t>
            </w:r>
          </w:p>
        </w:tc>
      </w:tr>
      <w:tr>
        <w:tc>
          <w:tcPr>
            <w:tcW w:type="dxa" w:w="2160"/>
          </w:tcPr>
          <w:p>
            <w:pPr>
              <w:spacing w:after="40"/>
            </w:pPr>
            <w:r>
              <w:rPr>
                <w:sz w:val="18"/>
              </w:rPr>
              <w:t>H4-1: B13 recall (evidence) in 35-70%</w:t>
            </w:r>
          </w:p>
        </w:tc>
        <w:tc>
          <w:tcPr>
            <w:tcW w:type="dxa" w:w="2160"/>
          </w:tcPr>
          <w:p>
            <w:pPr>
              <w:spacing w:after="40"/>
            </w:pPr>
            <w:r>
              <w:rPr>
                <w:sz w:val="18"/>
              </w:rPr>
              <w:t>HELD</w:t>
            </w:r>
          </w:p>
        </w:tc>
        <w:tc>
          <w:tcPr>
            <w:tcW w:type="dxa" w:w="2160"/>
          </w:tcPr>
          <w:p>
            <w:pPr>
              <w:spacing w:after="40"/>
            </w:pPr>
            <w:r>
              <w:rPr>
                <w:sz w:val="18"/>
              </w:rPr>
              <w:t>50.3%</w:t>
            </w:r>
          </w:p>
        </w:tc>
        <w:tc>
          <w:tcPr>
            <w:tcW w:type="dxa" w:w="2160"/>
          </w:tcPr>
          <w:p>
            <w:pPr>
              <w:spacing w:after="40"/>
            </w:pPr>
            <w:r>
              <w:rPr>
                <w:sz w:val="18"/>
              </w:rPr>
              <w:t>-</w:t>
            </w:r>
          </w:p>
        </w:tc>
      </w:tr>
      <w:tr>
        <w:tc>
          <w:tcPr>
            <w:tcW w:type="dxa" w:w="2160"/>
          </w:tcPr>
          <w:p>
            <w:pPr>
              <w:spacing w:after="40"/>
            </w:pPr>
            <w:r>
              <w:rPr>
                <w:sz w:val="18"/>
              </w:rPr>
              <w:t>H4-2: B13 recall &gt; B14, p&lt;0.05</w:t>
            </w:r>
          </w:p>
        </w:tc>
        <w:tc>
          <w:tcPr>
            <w:tcW w:type="dxa" w:w="2160"/>
          </w:tcPr>
          <w:p>
            <w:pPr>
              <w:spacing w:after="40"/>
            </w:pPr>
            <w:r>
              <w:rPr>
                <w:sz w:val="18"/>
              </w:rPr>
              <w:t>HELD</w:t>
            </w:r>
          </w:p>
        </w:tc>
        <w:tc>
          <w:tcPr>
            <w:tcW w:type="dxa" w:w="2160"/>
          </w:tcPr>
          <w:p>
            <w:pPr>
              <w:spacing w:after="40"/>
            </w:pPr>
            <w:r>
              <w:rPr>
                <w:sz w:val="18"/>
              </w:rPr>
              <w:t>50.3% vs 20.4%, p=1.4e-14</w:t>
            </w:r>
          </w:p>
        </w:tc>
        <w:tc>
          <w:tcPr>
            <w:tcW w:type="dxa" w:w="2160"/>
          </w:tcPr>
          <w:p>
            <w:pPr>
              <w:spacing w:after="40"/>
            </w:pPr>
            <w:r>
              <w:rPr>
                <w:sz w:val="18"/>
              </w:rPr>
              <w:t>2e-13</w:t>
            </w:r>
          </w:p>
        </w:tc>
      </w:tr>
      <w:tr>
        <w:tc>
          <w:tcPr>
            <w:tcW w:type="dxa" w:w="2160"/>
          </w:tcPr>
          <w:p>
            <w:pPr>
              <w:spacing w:after="40"/>
            </w:pPr>
            <w:r>
              <w:rPr>
                <w:sz w:val="18"/>
              </w:rPr>
              <w:t>H4-3: B18 - B13 in 0..+12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H4-4: deberta@dev and llama_guard@dev recall &lt;= 20%</w:t>
            </w:r>
          </w:p>
        </w:tc>
        <w:tc>
          <w:tcPr>
            <w:tcW w:type="dxa" w:w="2160"/>
          </w:tcPr>
          <w:p>
            <w:pPr>
              <w:spacing w:after="40"/>
            </w:pPr>
            <w:r>
              <w:rPr>
                <w:sz w:val="18"/>
              </w:rPr>
              <w:t>HELD</w:t>
            </w:r>
          </w:p>
        </w:tc>
        <w:tc>
          <w:tcPr>
            <w:tcW w:type="dxa" w:w="2160"/>
          </w:tcPr>
          <w:p>
            <w:pPr>
              <w:spacing w:after="40"/>
            </w:pPr>
            <w:r>
              <w:rPr>
                <w:sz w:val="18"/>
              </w:rPr>
              <w:t>0.0%, 0.6%</w:t>
            </w:r>
          </w:p>
        </w:tc>
        <w:tc>
          <w:tcPr>
            <w:tcW w:type="dxa" w:w="2160"/>
          </w:tcPr>
          <w:p>
            <w:pPr>
              <w:spacing w:after="40"/>
            </w:pPr>
            <w:r>
              <w:rPr>
                <w:sz w:val="18"/>
              </w:rPr>
              <w:t>-</w:t>
            </w:r>
          </w:p>
        </w:tc>
      </w:tr>
      <w:tr>
        <w:tc>
          <w:tcPr>
            <w:tcW w:type="dxa" w:w="2160"/>
          </w:tcPr>
          <w:p>
            <w:pPr>
              <w:spacing w:after="40"/>
            </w:pPr>
            <w:r>
              <w:rPr>
                <w:sz w:val="18"/>
              </w:rPr>
              <w:t>H4-5: B13 benign FPR (untrusted, evidence) in 3-30%</w:t>
            </w:r>
          </w:p>
        </w:tc>
        <w:tc>
          <w:tcPr>
            <w:tcW w:type="dxa" w:w="2160"/>
          </w:tcPr>
          <w:p>
            <w:pPr>
              <w:spacing w:after="40"/>
            </w:pPr>
            <w:r>
              <w:rPr>
                <w:sz w:val="18"/>
              </w:rPr>
              <w:t>HELD</w:t>
            </w:r>
          </w:p>
        </w:tc>
        <w:tc>
          <w:tcPr>
            <w:tcW w:type="dxa" w:w="2160"/>
          </w:tcPr>
          <w:p>
            <w:pPr>
              <w:spacing w:after="40"/>
            </w:pPr>
            <w:r>
              <w:rPr>
                <w:sz w:val="18"/>
              </w:rPr>
              <w:t>11.8%</w:t>
            </w:r>
          </w:p>
        </w:tc>
        <w:tc>
          <w:tcPr>
            <w:tcW w:type="dxa" w:w="2160"/>
          </w:tcPr>
          <w:p>
            <w:pPr>
              <w:spacing w:after="40"/>
            </w:pPr>
            <w:r>
              <w:rPr>
                <w:sz w:val="18"/>
              </w:rPr>
              <w:t>-</w:t>
            </w:r>
          </w:p>
        </w:tc>
      </w:tr>
      <w:tr>
        <w:tc>
          <w:tcPr>
            <w:tcW w:type="dxa" w:w="2160"/>
          </w:tcPr>
          <w:p>
            <w:pPr>
              <w:spacing w:after="40"/>
            </w:pPr>
            <w:r>
              <w:rPr>
                <w:sz w:val="18"/>
              </w:rPr>
              <w:t>H4-6: B13/B17/B18 user_turn FPR each &lt;= 3%</w:t>
            </w:r>
          </w:p>
        </w:tc>
        <w:tc>
          <w:tcPr>
            <w:tcW w:type="dxa" w:w="2160"/>
          </w:tcPr>
          <w:p>
            <w:pPr>
              <w:spacing w:after="40"/>
            </w:pPr>
            <w:r>
              <w:rPr>
                <w:sz w:val="18"/>
              </w:rPr>
              <w:t>HELD</w:t>
            </w:r>
          </w:p>
        </w:tc>
        <w:tc>
          <w:tcPr>
            <w:tcW w:type="dxa" w:w="2160"/>
          </w:tcPr>
          <w:p>
            <w:pPr>
              <w:spacing w:after="40"/>
            </w:pPr>
            <w:r>
              <w:rPr>
                <w:sz w:val="18"/>
              </w:rPr>
              <w:t>0.0%, 0.0%, 1.5%</w:t>
            </w:r>
          </w:p>
        </w:tc>
        <w:tc>
          <w:tcPr>
            <w:tcW w:type="dxa" w:w="2160"/>
          </w:tcPr>
          <w:p>
            <w:pPr>
              <w:spacing w:after="40"/>
            </w:pPr>
            <w:r>
              <w:rPr>
                <w:sz w:val="18"/>
              </w:rPr>
              <w:t>-</w:t>
            </w:r>
          </w:p>
        </w:tc>
      </w:tr>
      <w:tr>
        <w:tc>
          <w:tcPr>
            <w:tcW w:type="dxa" w:w="2160"/>
          </w:tcPr>
          <w:p>
            <w:pPr>
              <w:spacing w:after="40"/>
            </w:pPr>
            <w:r>
              <w:rPr>
                <w:sz w:val="18"/>
              </w:rPr>
              <w:t>H4-7: B20 recall &lt;= B17</w:t>
            </w:r>
          </w:p>
        </w:tc>
        <w:tc>
          <w:tcPr>
            <w:tcW w:type="dxa" w:w="2160"/>
          </w:tcPr>
          <w:p>
            <w:pPr>
              <w:spacing w:after="40"/>
            </w:pPr>
            <w:r>
              <w:rPr>
                <w:sz w:val="18"/>
              </w:rPr>
              <w:t>HELD</w:t>
            </w:r>
          </w:p>
        </w:tc>
        <w:tc>
          <w:tcPr>
            <w:tcW w:type="dxa" w:w="2160"/>
          </w:tcPr>
          <w:p>
            <w:pPr>
              <w:spacing w:after="40"/>
            </w:pPr>
            <w:r>
              <w:rPr>
                <w:sz w:val="18"/>
              </w:rPr>
              <w:t>48.4% vs 50.3%</w:t>
            </w:r>
          </w:p>
        </w:tc>
        <w:tc>
          <w:tcPr>
            <w:tcW w:type="dxa" w:w="2160"/>
          </w:tcPr>
          <w:p>
            <w:pPr>
              <w:spacing w:after="40"/>
            </w:pPr>
            <w:r>
              <w:rPr>
                <w:sz w:val="18"/>
              </w:rPr>
              <w:t>-</w:t>
            </w:r>
          </w:p>
        </w:tc>
      </w:tr>
      <w:tr>
        <w:tc>
          <w:tcPr>
            <w:tcW w:type="dxa" w:w="2160"/>
          </w:tcPr>
          <w:p>
            <w:pPr>
              <w:spacing w:after="40"/>
            </w:pPr>
            <w:r>
              <w:rPr>
                <w:sz w:val="18"/>
              </w:rPr>
              <w:t>H4-8: framing drop on note-shaped attacks &lt; 15 points</w:t>
            </w:r>
          </w:p>
        </w:tc>
        <w:tc>
          <w:tcPr>
            <w:tcW w:type="dxa" w:w="2160"/>
          </w:tcPr>
          <w:p>
            <w:pPr>
              <w:spacing w:after="40"/>
            </w:pPr>
            <w:r>
              <w:rPr>
                <w:sz w:val="18"/>
              </w:rPr>
              <w:t>HELD</w:t>
            </w:r>
          </w:p>
        </w:tc>
        <w:tc>
          <w:tcPr>
            <w:tcW w:type="dxa" w:w="2160"/>
          </w:tcPr>
          <w:p>
            <w:pPr>
              <w:spacing w:after="40"/>
            </w:pPr>
            <w:r>
              <w:rPr>
                <w:sz w:val="18"/>
              </w:rPr>
              <w:t>60.5% -&gt; 56.1% (+4.5)</w:t>
            </w:r>
          </w:p>
        </w:tc>
        <w:tc>
          <w:tcPr>
            <w:tcW w:type="dxa" w:w="2160"/>
          </w:tcPr>
          <w:p>
            <w:pPr>
              <w:spacing w:after="40"/>
            </w:pPr>
            <w:r>
              <w:rPr>
                <w:sz w:val="18"/>
              </w:rPr>
              <w:t>-</w:t>
            </w:r>
          </w:p>
        </w:tc>
      </w:tr>
      <w:tr>
        <w:tc>
          <w:tcPr>
            <w:tcW w:type="dxa" w:w="2160"/>
          </w:tcPr>
          <w:p>
            <w:pPr>
              <w:spacing w:after="40"/>
            </w:pPr>
            <w:r>
              <w:rPr>
                <w:sz w:val="18"/>
              </w:rPr>
              <w:t>H6-1: B17 matched-benign FPR in 2-15%</w:t>
            </w:r>
          </w:p>
        </w:tc>
        <w:tc>
          <w:tcPr>
            <w:tcW w:type="dxa" w:w="2160"/>
          </w:tcPr>
          <w:p>
            <w:pPr>
              <w:spacing w:after="40"/>
            </w:pPr>
            <w:r>
              <w:rPr>
                <w:sz w:val="18"/>
              </w:rPr>
              <w:t>HELD</w:t>
            </w:r>
          </w:p>
        </w:tc>
        <w:tc>
          <w:tcPr>
            <w:tcW w:type="dxa" w:w="2160"/>
          </w:tcPr>
          <w:p>
            <w:pPr>
              <w:spacing w:after="40"/>
            </w:pPr>
            <w:r>
              <w:rPr>
                <w:sz w:val="18"/>
              </w:rPr>
              <w:t>2.2%</w:t>
            </w:r>
          </w:p>
        </w:tc>
        <w:tc>
          <w:tcPr>
            <w:tcW w:type="dxa" w:w="2160"/>
          </w:tcPr>
          <w:p>
            <w:pPr>
              <w:spacing w:after="40"/>
            </w:pPr>
            <w:r>
              <w:rPr>
                <w:sz w:val="18"/>
              </w:rPr>
              <w:t>-</w:t>
            </w:r>
          </w:p>
        </w:tc>
      </w:tr>
      <w:tr>
        <w:tc>
          <w:tcPr>
            <w:tcW w:type="dxa" w:w="2160"/>
          </w:tcPr>
          <w:p>
            <w:pPr>
              <w:spacing w:after="40"/>
            </w:pPr>
            <w:r>
              <w:rPr>
                <w:sz w:val="18"/>
              </w:rPr>
              <w:t>H6-2: B17 recall in 60-95%</w:t>
            </w:r>
          </w:p>
        </w:tc>
        <w:tc>
          <w:tcPr>
            <w:tcW w:type="dxa" w:w="2160"/>
          </w:tcPr>
          <w:p>
            <w:pPr>
              <w:spacing w:after="40"/>
            </w:pPr>
            <w:r>
              <w:rPr>
                <w:sz w:val="18"/>
              </w:rPr>
              <w:t>HELD</w:t>
            </w:r>
          </w:p>
        </w:tc>
        <w:tc>
          <w:tcPr>
            <w:tcW w:type="dxa" w:w="2160"/>
          </w:tcPr>
          <w:p>
            <w:pPr>
              <w:spacing w:after="40"/>
            </w:pPr>
            <w:r>
              <w:rPr>
                <w:sz w:val="18"/>
              </w:rPr>
              <w:t>77.6%</w:t>
            </w:r>
          </w:p>
        </w:tc>
        <w:tc>
          <w:tcPr>
            <w:tcW w:type="dxa" w:w="2160"/>
          </w:tcPr>
          <w:p>
            <w:pPr>
              <w:spacing w:after="40"/>
            </w:pPr>
            <w:r>
              <w:rPr>
                <w:sz w:val="18"/>
              </w:rPr>
              <w:t>-</w:t>
            </w:r>
          </w:p>
        </w:tc>
      </w:tr>
      <w:tr>
        <w:tc>
          <w:tcPr>
            <w:tcW w:type="dxa" w:w="2160"/>
          </w:tcPr>
          <w:p>
            <w:pPr>
              <w:spacing w:after="40"/>
            </w:pPr>
            <w:r>
              <w:rPr>
                <w:sz w:val="18"/>
              </w:rPr>
              <w:t>H6-3: B14 recall &gt; B13, p&lt;0.05</w:t>
            </w:r>
          </w:p>
        </w:tc>
        <w:tc>
          <w:tcPr>
            <w:tcW w:type="dxa" w:w="2160"/>
          </w:tcPr>
          <w:p>
            <w:pPr>
              <w:spacing w:after="40"/>
            </w:pPr>
            <w:r>
              <w:rPr>
                <w:sz w:val="18"/>
              </w:rPr>
              <w:t>HELD</w:t>
            </w:r>
          </w:p>
        </w:tc>
        <w:tc>
          <w:tcPr>
            <w:tcW w:type="dxa" w:w="2160"/>
          </w:tcPr>
          <w:p>
            <w:pPr>
              <w:spacing w:after="40"/>
            </w:pPr>
            <w:r>
              <w:rPr>
                <w:sz w:val="18"/>
              </w:rPr>
              <w:t>77.4% vs 37.2%, p=3.2e-59</w:t>
            </w:r>
          </w:p>
        </w:tc>
        <w:tc>
          <w:tcPr>
            <w:tcW w:type="dxa" w:w="2160"/>
          </w:tcPr>
          <w:p>
            <w:pPr>
              <w:spacing w:after="40"/>
            </w:pPr>
            <w:r>
              <w:rPr>
                <w:sz w:val="18"/>
              </w:rPr>
              <w:t>4.8e-58</w:t>
            </w:r>
          </w:p>
        </w:tc>
      </w:tr>
      <w:tr>
        <w:tc>
          <w:tcPr>
            <w:tcW w:type="dxa" w:w="2160"/>
          </w:tcPr>
          <w:p>
            <w:pPr>
              <w:spacing w:after="40"/>
            </w:pPr>
            <w:r>
              <w:rPr>
                <w:sz w:val="18"/>
              </w:rPr>
              <w:t>H6-4: PRIMARY replication: P4(B12) &lt; P2(B12), p&lt;0.05</w:t>
            </w:r>
          </w:p>
        </w:tc>
        <w:tc>
          <w:tcPr>
            <w:tcW w:type="dxa" w:w="2160"/>
          </w:tcPr>
          <w:p>
            <w:pPr>
              <w:spacing w:after="40"/>
            </w:pPr>
            <w:r>
              <w:rPr>
                <w:sz w:val="18"/>
              </w:rPr>
              <w:t>HELD</w:t>
            </w:r>
          </w:p>
        </w:tc>
        <w:tc>
          <w:tcPr>
            <w:tcW w:type="dxa" w:w="2160"/>
          </w:tcPr>
          <w:p>
            <w:pPr>
              <w:spacing w:after="40"/>
            </w:pPr>
            <w:r>
              <w:rPr>
                <w:sz w:val="18"/>
              </w:rPr>
              <w:t>246 -&gt; 227 of 500, p=0.023</w:t>
            </w:r>
          </w:p>
        </w:tc>
        <w:tc>
          <w:tcPr>
            <w:tcW w:type="dxa" w:w="2160"/>
          </w:tcPr>
          <w:p>
            <w:pPr>
              <w:spacing w:after="40"/>
            </w:pPr>
            <w:r>
              <w:rPr>
                <w:sz w:val="18"/>
              </w:rPr>
              <w:t>0.16</w:t>
            </w:r>
          </w:p>
        </w:tc>
      </w:tr>
      <w:tr>
        <w:tc>
          <w:tcPr>
            <w:tcW w:type="dxa" w:w="2160"/>
          </w:tcPr>
          <w:p>
            <w:pPr>
              <w:spacing w:after="40"/>
            </w:pPr>
            <w:r>
              <w:rPr>
                <w:sz w:val="18"/>
              </w:rPr>
              <w:t>H6-6: P4(B18) &lt; P2(B18), p&lt;0.05</w:t>
            </w:r>
          </w:p>
        </w:tc>
        <w:tc>
          <w:tcPr>
            <w:tcW w:type="dxa" w:w="2160"/>
          </w:tcPr>
          <w:p>
            <w:pPr>
              <w:spacing w:after="40"/>
            </w:pPr>
            <w:r>
              <w:rPr>
                <w:sz w:val="18"/>
              </w:rPr>
              <w:t>FAILED</w:t>
            </w:r>
          </w:p>
        </w:tc>
        <w:tc>
          <w:tcPr>
            <w:tcW w:type="dxa" w:w="2160"/>
          </w:tcPr>
          <w:p>
            <w:pPr>
              <w:spacing w:after="40"/>
            </w:pPr>
            <w:r>
              <w:rPr>
                <w:sz w:val="18"/>
              </w:rPr>
              <w:t>5 -&gt; 4 of 500, p=1</w:t>
            </w:r>
          </w:p>
        </w:tc>
        <w:tc>
          <w:tcPr>
            <w:tcW w:type="dxa" w:w="2160"/>
          </w:tcPr>
          <w:p>
            <w:pPr>
              <w:spacing w:after="40"/>
            </w:pPr>
            <w:r>
              <w:rPr>
                <w:sz w:val="18"/>
              </w:rPr>
              <w:t>1</w:t>
            </w:r>
          </w:p>
        </w:tc>
      </w:tr>
      <w:tr>
        <w:tc>
          <w:tcPr>
            <w:tcW w:type="dxa" w:w="2160"/>
          </w:tcPr>
          <w:p>
            <w:pPr>
              <w:spacing w:after="40"/>
            </w:pPr>
            <w:r>
              <w:rPr>
                <w:sz w:val="18"/>
              </w:rPr>
              <w:t>H6-5: P1 cuts compliance vs P0, p&lt;0.05</w:t>
            </w:r>
          </w:p>
        </w:tc>
        <w:tc>
          <w:tcPr>
            <w:tcW w:type="dxa" w:w="2160"/>
          </w:tcPr>
          <w:p>
            <w:pPr>
              <w:spacing w:after="40"/>
            </w:pPr>
            <w:r>
              <w:rPr>
                <w:sz w:val="18"/>
              </w:rPr>
              <w:t>HELD</w:t>
            </w:r>
          </w:p>
        </w:tc>
        <w:tc>
          <w:tcPr>
            <w:tcW w:type="dxa" w:w="2160"/>
          </w:tcPr>
          <w:p>
            <w:pPr>
              <w:spacing w:after="40"/>
            </w:pPr>
            <w:r>
              <w:rPr>
                <w:sz w:val="18"/>
              </w:rPr>
              <w:t>64.8% -&gt; 57.4%, p=0.0003</w:t>
            </w:r>
          </w:p>
        </w:tc>
        <w:tc>
          <w:tcPr>
            <w:tcW w:type="dxa" w:w="2160"/>
          </w:tcPr>
          <w:p>
            <w:pPr>
              <w:spacing w:after="40"/>
            </w:pPr>
            <w:r>
              <w:rPr>
                <w:sz w:val="18"/>
              </w:rPr>
              <w:t>0.0027</w:t>
            </w:r>
          </w:p>
        </w:tc>
      </w:tr>
      <w:tr>
        <w:tc>
          <w:tcPr>
            <w:tcW w:type="dxa" w:w="2160"/>
          </w:tcPr>
          <w:p>
            <w:pPr>
              <w:spacing w:after="40"/>
            </w:pPr>
            <w:r>
              <w:rPr>
                <w:sz w:val="18"/>
              </w:rPr>
              <w:t>H6-7: B14 recall on degree-3 &gt;= degree-1</w:t>
            </w:r>
          </w:p>
        </w:tc>
        <w:tc>
          <w:tcPr>
            <w:tcW w:type="dxa" w:w="2160"/>
          </w:tcPr>
          <w:p>
            <w:pPr>
              <w:spacing w:after="40"/>
            </w:pPr>
            <w:r>
              <w:rPr>
                <w:sz w:val="18"/>
              </w:rPr>
              <w:t>HELD</w:t>
            </w:r>
          </w:p>
        </w:tc>
        <w:tc>
          <w:tcPr>
            <w:tcW w:type="dxa" w:w="2160"/>
          </w:tcPr>
          <w:p>
            <w:pPr>
              <w:spacing w:after="40"/>
            </w:pPr>
            <w:r>
              <w:rPr>
                <w:sz w:val="18"/>
              </w:rPr>
              <w:t>degree 1 70.7%, degree 3 85.3%</w:t>
            </w:r>
          </w:p>
        </w:tc>
        <w:tc>
          <w:tcPr>
            <w:tcW w:type="dxa" w:w="2160"/>
          </w:tcPr>
          <w:p>
            <w:pPr>
              <w:spacing w:after="40"/>
            </w:pPr>
            <w:r>
              <w:rPr>
                <w:sz w:val="18"/>
              </w:rPr>
              <w:t>-</w:t>
            </w:r>
          </w:p>
        </w:tc>
      </w:tr>
      <w:tr>
        <w:tc>
          <w:tcPr>
            <w:tcW w:type="dxa" w:w="2160"/>
          </w:tcPr>
          <w:p>
            <w:pPr>
              <w:spacing w:after="40"/>
            </w:pPr>
            <w:r>
              <w:rPr>
                <w:sz w:val="18"/>
              </w:rPr>
              <w:t>H7-1: B14 recall instruction &gt; note families (owner-matched)</w:t>
            </w:r>
          </w:p>
        </w:tc>
        <w:tc>
          <w:tcPr>
            <w:tcW w:type="dxa" w:w="2160"/>
          </w:tcPr>
          <w:p>
            <w:pPr>
              <w:spacing w:after="40"/>
            </w:pPr>
            <w:r>
              <w:rPr>
                <w:sz w:val="18"/>
              </w:rPr>
              <w:t>HELD</w:t>
            </w:r>
          </w:p>
        </w:tc>
        <w:tc>
          <w:tcPr>
            <w:tcW w:type="dxa" w:w="2160"/>
          </w:tcPr>
          <w:p>
            <w:pPr>
              <w:spacing w:after="40"/>
            </w:pPr>
            <w:r>
              <w:rPr>
                <w:sz w:val="18"/>
              </w:rPr>
              <w:t>instruction 46.2% vs note 2.2%</w:t>
            </w:r>
          </w:p>
        </w:tc>
        <w:tc>
          <w:tcPr>
            <w:tcW w:type="dxa" w:w="2160"/>
          </w:tcPr>
          <w:p>
            <w:pPr>
              <w:spacing w:after="40"/>
            </w:pPr>
            <w:r>
              <w:rPr>
                <w:sz w:val="18"/>
              </w:rPr>
              <w:t>-</w:t>
            </w:r>
          </w:p>
        </w:tc>
      </w:tr>
      <w:tr>
        <w:tc>
          <w:tcPr>
            <w:tcW w:type="dxa" w:w="2160"/>
          </w:tcPr>
          <w:p>
            <w:pPr>
              <w:spacing w:after="40"/>
            </w:pPr>
            <w:r>
              <w:rPr>
                <w:sz w:val="18"/>
              </w:rPr>
              <w:t>H7-2: B13 recall on instruction families &gt;= 50%</w:t>
            </w:r>
          </w:p>
        </w:tc>
        <w:tc>
          <w:tcPr>
            <w:tcW w:type="dxa" w:w="2160"/>
          </w:tcPr>
          <w:p>
            <w:pPr>
              <w:spacing w:after="40"/>
            </w:pPr>
            <w:r>
              <w:rPr>
                <w:sz w:val="18"/>
              </w:rPr>
              <w:t>HELD</w:t>
            </w:r>
          </w:p>
        </w:tc>
        <w:tc>
          <w:tcPr>
            <w:tcW w:type="dxa" w:w="2160"/>
          </w:tcPr>
          <w:p>
            <w:pPr>
              <w:spacing w:after="40"/>
            </w:pPr>
            <w:r>
              <w:rPr>
                <w:sz w:val="18"/>
              </w:rPr>
              <w:t>68.8%</w:t>
            </w:r>
          </w:p>
        </w:tc>
        <w:tc>
          <w:tcPr>
            <w:tcW w:type="dxa" w:w="2160"/>
          </w:tcPr>
          <w:p>
            <w:pPr>
              <w:spacing w:after="40"/>
            </w:pPr>
            <w:r>
              <w:rPr>
                <w:sz w:val="18"/>
              </w:rPr>
              <w:t>-</w:t>
            </w:r>
          </w:p>
        </w:tc>
      </w:tr>
      <w:tr>
        <w:tc>
          <w:tcPr>
            <w:tcW w:type="dxa" w:w="2160"/>
          </w:tcPr>
          <w:p>
            <w:pPr>
              <w:spacing w:after="40"/>
            </w:pPr>
            <w:r>
              <w:rPr>
                <w:sz w:val="18"/>
              </w:rPr>
              <w:t>H7-3: B13c - B13 on contradiction in 0..+15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H7-4: B13c - B13 benign FPR &lt;= +5 points</w:t>
            </w:r>
          </w:p>
        </w:tc>
        <w:tc>
          <w:tcPr>
            <w:tcW w:type="dxa" w:w="2160"/>
          </w:tcPr>
          <w:p>
            <w:pPr>
              <w:spacing w:after="40"/>
            </w:pPr>
            <w:r>
              <w:rPr>
                <w:sz w:val="18"/>
              </w:rPr>
              <w:t>HELD</w:t>
            </w:r>
          </w:p>
        </w:tc>
        <w:tc>
          <w:tcPr>
            <w:tcW w:type="dxa" w:w="2160"/>
          </w:tcPr>
          <w:p>
            <w:pPr>
              <w:spacing w:after="40"/>
            </w:pPr>
            <w:r>
              <w:rPr>
                <w:sz w:val="18"/>
              </w:rPr>
              <w:t>+1.4</w:t>
            </w:r>
          </w:p>
        </w:tc>
        <w:tc>
          <w:tcPr>
            <w:tcW w:type="dxa" w:w="2160"/>
          </w:tcPr>
          <w:p>
            <w:pPr>
              <w:spacing w:after="40"/>
            </w:pPr>
            <w:r>
              <w:rPr>
                <w:sz w:val="18"/>
              </w:rPr>
              <w:t>-</w:t>
            </w:r>
          </w:p>
        </w:tc>
      </w:tr>
      <w:tr>
        <w:tc>
          <w:tcPr>
            <w:tcW w:type="dxa" w:w="2160"/>
          </w:tcPr>
          <w:p>
            <w:pPr>
              <w:spacing w:after="40"/>
            </w:pPr>
            <w:r>
              <w:rPr>
                <w:sz w:val="18"/>
              </w:rPr>
              <w:t>H7-5: B18 recall &gt;= B13 recall</w:t>
            </w:r>
          </w:p>
        </w:tc>
        <w:tc>
          <w:tcPr>
            <w:tcW w:type="dxa" w:w="2160"/>
          </w:tcPr>
          <w:p>
            <w:pPr>
              <w:spacing w:after="40"/>
            </w:pPr>
            <w:r>
              <w:rPr>
                <w:sz w:val="18"/>
              </w:rPr>
              <w:t>HELD</w:t>
            </w:r>
          </w:p>
        </w:tc>
        <w:tc>
          <w:tcPr>
            <w:tcW w:type="dxa" w:w="2160"/>
          </w:tcPr>
          <w:p>
            <w:pPr>
              <w:spacing w:after="40"/>
            </w:pPr>
            <w:r>
              <w:rPr>
                <w:sz w:val="18"/>
              </w:rPr>
              <w:t>56.8% vs 53.6%</w:t>
            </w:r>
          </w:p>
        </w:tc>
        <w:tc>
          <w:tcPr>
            <w:tcW w:type="dxa" w:w="2160"/>
          </w:tcPr>
          <w:p>
            <w:pPr>
              <w:spacing w:after="40"/>
            </w:pPr>
            <w:r>
              <w:rPr>
                <w:sz w:val="18"/>
              </w:rPr>
              <w:t>-</w:t>
            </w:r>
          </w:p>
        </w:tc>
      </w:tr>
      <w:tr>
        <w:tc>
          <w:tcPr>
            <w:tcW w:type="dxa" w:w="2160"/>
          </w:tcPr>
          <w:p>
            <w:pPr>
              <w:spacing w:after="40"/>
            </w:pPr>
            <w:r>
              <w:rPr>
                <w:sz w:val="18"/>
              </w:rPr>
              <w:t>H7-6: user_turn FPR each &lt;= 3%</w:t>
            </w:r>
          </w:p>
        </w:tc>
        <w:tc>
          <w:tcPr>
            <w:tcW w:type="dxa" w:w="2160"/>
          </w:tcPr>
          <w:p>
            <w:pPr>
              <w:spacing w:after="40"/>
            </w:pPr>
            <w:r>
              <w:rPr>
                <w:sz w:val="18"/>
              </w:rPr>
              <w:t>FAILED</w:t>
            </w:r>
          </w:p>
        </w:tc>
        <w:tc>
          <w:tcPr>
            <w:tcW w:type="dxa" w:w="2160"/>
          </w:tcPr>
          <w:p>
            <w:pPr>
              <w:spacing w:after="40"/>
            </w:pPr>
            <w:r>
              <w:rPr>
                <w:sz w:val="18"/>
              </w:rPr>
              <w:t>0.0%, 0.0%, 4.9%</w:t>
            </w:r>
          </w:p>
        </w:tc>
        <w:tc>
          <w:tcPr>
            <w:tcW w:type="dxa" w:w="2160"/>
          </w:tcPr>
          <w:p>
            <w:pPr>
              <w:spacing w:after="40"/>
            </w:pPr>
            <w:r>
              <w:rPr>
                <w:sz w:val="18"/>
              </w:rPr>
              <w:t>-</w:t>
            </w:r>
          </w:p>
        </w:tc>
      </w:tr>
      <w:tr>
        <w:tc>
          <w:tcPr>
            <w:tcW w:type="dxa" w:w="2160"/>
          </w:tcPr>
          <w:p>
            <w:pPr>
              <w:spacing w:after="40"/>
            </w:pPr>
            <w:r>
              <w:rPr>
                <w:sz w:val="18"/>
              </w:rPr>
              <w:t>H7-7: framing drop larger on instruction than note families</w:t>
            </w:r>
          </w:p>
        </w:tc>
        <w:tc>
          <w:tcPr>
            <w:tcW w:type="dxa" w:w="2160"/>
          </w:tcPr>
          <w:p>
            <w:pPr>
              <w:spacing w:after="40"/>
            </w:pPr>
            <w:r>
              <w:rPr>
                <w:sz w:val="18"/>
              </w:rPr>
              <w:t>FAILED</w:t>
            </w:r>
          </w:p>
        </w:tc>
        <w:tc>
          <w:tcPr>
            <w:tcW w:type="dxa" w:w="2160"/>
          </w:tcPr>
          <w:p>
            <w:pPr>
              <w:spacing w:after="40"/>
            </w:pPr>
            <w:r>
              <w:rPr>
                <w:sz w:val="18"/>
              </w:rPr>
              <w:t>instruction -5.0 vs note +17.8 points</w:t>
            </w:r>
          </w:p>
        </w:tc>
        <w:tc>
          <w:tcPr>
            <w:tcW w:type="dxa" w:w="2160"/>
          </w:tcPr>
          <w:p>
            <w:pPr>
              <w:spacing w:after="40"/>
            </w:pPr>
            <w:r>
              <w:rPr>
                <w:sz w:val="18"/>
              </w:rPr>
              <w:t>-</w:t>
            </w:r>
          </w:p>
        </w:tc>
      </w:tr>
      <w:tr>
        <w:tc>
          <w:tcPr>
            <w:tcW w:type="dxa" w:w="2160"/>
          </w:tcPr>
          <w:p>
            <w:pPr>
              <w:spacing w:after="40"/>
            </w:pPr>
            <w:r>
              <w:rPr>
                <w:sz w:val="18"/>
              </w:rPr>
              <w:t>B-1: framing cuts own-attack harm by 0-10 points</w:t>
            </w:r>
          </w:p>
        </w:tc>
        <w:tc>
          <w:tcPr>
            <w:tcW w:type="dxa" w:w="2160"/>
          </w:tcPr>
          <w:p>
            <w:pPr>
              <w:spacing w:after="40"/>
            </w:pPr>
            <w:r>
              <w:rPr>
                <w:sz w:val="18"/>
              </w:rPr>
              <w:t>HELD</w:t>
            </w:r>
          </w:p>
        </w:tc>
        <w:tc>
          <w:tcPr>
            <w:tcW w:type="dxa" w:w="2160"/>
          </w:tcPr>
          <w:p>
            <w:pPr>
              <w:spacing w:after="40"/>
            </w:pPr>
            <w:r>
              <w:rPr>
                <w:sz w:val="18"/>
              </w:rPr>
              <w:t>+4.2</w:t>
            </w:r>
          </w:p>
        </w:tc>
        <w:tc>
          <w:tcPr>
            <w:tcW w:type="dxa" w:w="2160"/>
          </w:tcPr>
          <w:p>
            <w:pPr>
              <w:spacing w:after="40"/>
            </w:pPr>
            <w:r>
              <w:rPr>
                <w:sz w:val="18"/>
              </w:rPr>
              <w:t>-</w:t>
            </w:r>
          </w:p>
        </w:tc>
      </w:tr>
      <w:tr>
        <w:tc>
          <w:tcPr>
            <w:tcW w:type="dxa" w:w="2160"/>
          </w:tcPr>
          <w:p>
            <w:pPr>
              <w:spacing w:after="40"/>
            </w:pPr>
            <w:r>
              <w:rPr>
                <w:sz w:val="18"/>
              </w:rPr>
              <w:t>B-2: B13 + frame harm &lt;= B13 harm</w:t>
            </w:r>
          </w:p>
        </w:tc>
        <w:tc>
          <w:tcPr>
            <w:tcW w:type="dxa" w:w="2160"/>
          </w:tcPr>
          <w:p>
            <w:pPr>
              <w:spacing w:after="40"/>
            </w:pPr>
            <w:r>
              <w:rPr>
                <w:sz w:val="18"/>
              </w:rPr>
              <w:t>HELD</w:t>
            </w:r>
          </w:p>
        </w:tc>
        <w:tc>
          <w:tcPr>
            <w:tcW w:type="dxa" w:w="2160"/>
          </w:tcPr>
          <w:p>
            <w:pPr>
              <w:spacing w:after="40"/>
            </w:pPr>
            <w:r>
              <w:rPr>
                <w:sz w:val="18"/>
              </w:rPr>
              <w:t>6.5% vs 9.1%</w:t>
            </w:r>
          </w:p>
        </w:tc>
        <w:tc>
          <w:tcPr>
            <w:tcW w:type="dxa" w:w="2160"/>
          </w:tcPr>
          <w:p>
            <w:pPr>
              <w:spacing w:after="40"/>
            </w:pPr>
            <w:r>
              <w:rPr>
                <w:sz w:val="18"/>
              </w:rPr>
              <w:t>-</w:t>
            </w:r>
          </w:p>
        </w:tc>
      </w:tr>
      <w:tr>
        <w:tc>
          <w:tcPr>
            <w:tcW w:type="dxa" w:w="2160"/>
          </w:tcPr>
          <w:p>
            <w:pPr>
              <w:spacing w:after="40"/>
            </w:pPr>
            <w:r>
              <w:rPr>
                <w:sz w:val="18"/>
              </w:rPr>
              <w:t>B-3: framing cuts Gemini compliance, p&lt;0.05</w:t>
            </w:r>
          </w:p>
        </w:tc>
        <w:tc>
          <w:tcPr>
            <w:tcW w:type="dxa" w:w="2160"/>
          </w:tcPr>
          <w:p>
            <w:pPr>
              <w:spacing w:after="40"/>
            </w:pPr>
            <w:r>
              <w:rPr>
                <w:sz w:val="18"/>
              </w:rPr>
              <w:t>HELD</w:t>
            </w:r>
          </w:p>
        </w:tc>
        <w:tc>
          <w:tcPr>
            <w:tcW w:type="dxa" w:w="2160"/>
          </w:tcPr>
          <w:p>
            <w:pPr>
              <w:spacing w:after="40"/>
            </w:pPr>
            <w:r>
              <w:rPr>
                <w:sz w:val="18"/>
              </w:rPr>
              <w:t>50.0% -&gt; 13.3%, p=4.8e-07</w:t>
            </w:r>
          </w:p>
        </w:tc>
        <w:tc>
          <w:tcPr>
            <w:tcW w:type="dxa" w:w="2160"/>
          </w:tcPr>
          <w:p>
            <w:pPr>
              <w:spacing w:after="40"/>
            </w:pPr>
            <w:r>
              <w:rPr>
                <w:sz w:val="18"/>
              </w:rPr>
              <w:t>5.8e-06</w:t>
            </w:r>
          </w:p>
        </w:tc>
      </w:tr>
      <w:tr>
        <w:tc>
          <w:tcPr>
            <w:tcW w:type="dxa" w:w="2160"/>
          </w:tcPr>
          <w:p>
            <w:pPr>
              <w:spacing w:after="40"/>
            </w:pPr>
            <w:r>
              <w:rPr>
                <w:sz w:val="18"/>
              </w:rPr>
              <w:t>B-4: Gemini raw compliance &lt; qwen's</w:t>
            </w:r>
          </w:p>
        </w:tc>
        <w:tc>
          <w:tcPr>
            <w:tcW w:type="dxa" w:w="2160"/>
          </w:tcPr>
          <w:p>
            <w:pPr>
              <w:spacing w:after="40"/>
            </w:pPr>
            <w:r>
              <w:rPr>
                <w:sz w:val="18"/>
              </w:rPr>
              <w:t>HELD</w:t>
            </w:r>
          </w:p>
        </w:tc>
        <w:tc>
          <w:tcPr>
            <w:tcW w:type="dxa" w:w="2160"/>
          </w:tcPr>
          <w:p>
            <w:pPr>
              <w:spacing w:after="40"/>
            </w:pPr>
            <w:r>
              <w:rPr>
                <w:sz w:val="18"/>
              </w:rPr>
              <w:t>50.0% vs 51.7%</w:t>
            </w:r>
          </w:p>
        </w:tc>
        <w:tc>
          <w:tcPr>
            <w:tcW w:type="dxa" w:w="2160"/>
          </w:tcPr>
          <w:p>
            <w:pPr>
              <w:spacing w:after="40"/>
            </w:pPr>
            <w:r>
              <w:rPr>
                <w:sz w:val="18"/>
              </w:rPr>
              <w:t>-</w:t>
            </w:r>
          </w:p>
        </w:tc>
      </w:tr>
      <w:tr>
        <w:tc>
          <w:tcPr>
            <w:tcW w:type="dxa" w:w="2160"/>
          </w:tcPr>
          <w:p>
            <w:pPr>
              <w:spacing w:after="40"/>
            </w:pPr>
            <w:r>
              <w:rPr>
                <w:sz w:val="18"/>
              </w:rPr>
              <w:t>B-5: a radius above 0.90 satisfies the selection rule</w:t>
            </w:r>
          </w:p>
        </w:tc>
        <w:tc>
          <w:tcPr>
            <w:tcW w:type="dxa" w:w="2160"/>
          </w:tcPr>
          <w:p>
            <w:pPr>
              <w:spacing w:after="40"/>
            </w:pPr>
            <w:r>
              <w:rPr>
                <w:sz w:val="18"/>
              </w:rPr>
              <w:t>HELD</w:t>
            </w:r>
          </w:p>
        </w:tc>
        <w:tc>
          <w:tcPr>
            <w:tcW w:type="dxa" w:w="2160"/>
          </w:tcPr>
          <w:p>
            <w:pPr>
              <w:spacing w:after="40"/>
            </w:pPr>
            <w:r>
              <w:rPr>
                <w:sz w:val="18"/>
              </w:rPr>
              <w:t>radius 0.95 keeps the adaptive-evasion effect with a ledger-poisoning blast radius of 6.4% (0.90: 29.7%)</w:t>
            </w:r>
          </w:p>
        </w:tc>
        <w:tc>
          <w:tcPr>
            <w:tcW w:type="dxa" w:w="2160"/>
          </w:tcPr>
          <w:p>
            <w:pPr>
              <w:spacing w:after="40"/>
            </w:pPr>
            <w:r>
              <w:rPr>
                <w:sz w:val="18"/>
              </w:rPr>
              <w:t>-</w:t>
            </w:r>
          </w:p>
        </w:tc>
      </w:tr>
      <w:tr>
        <w:tc>
          <w:tcPr>
            <w:tcW w:type="dxa" w:w="2160"/>
          </w:tcPr>
          <w:p>
            <w:pPr>
              <w:spacing w:after="40"/>
            </w:pPr>
            <w:r>
              <w:rPr>
                <w:sz w:val="18"/>
              </w:rPr>
              <w:t>B-6: some generator's acceptance &gt;= 8.4% + 15 points</w:t>
            </w:r>
          </w:p>
        </w:tc>
        <w:tc>
          <w:tcPr>
            <w:tcW w:type="dxa" w:w="2160"/>
          </w:tcPr>
          <w:p>
            <w:pPr>
              <w:spacing w:after="40"/>
            </w:pPr>
            <w:r>
              <w:rPr>
                <w:sz w:val="18"/>
              </w:rPr>
              <w:t>HELD</w:t>
            </w:r>
          </w:p>
        </w:tc>
        <w:tc>
          <w:tcPr>
            <w:tcW w:type="dxa" w:w="2160"/>
          </w:tcPr>
          <w:p>
            <w:pPr>
              <w:spacing w:after="40"/>
            </w:pPr>
            <w:r>
              <w:rPr>
                <w:sz w:val="18"/>
              </w:rPr>
              <w:t>best 27.5%</w:t>
            </w:r>
          </w:p>
        </w:tc>
        <w:tc>
          <w:tcPr>
            <w:tcW w:type="dxa" w:w="2160"/>
          </w:tcPr>
          <w:p>
            <w:pPr>
              <w:spacing w:after="40"/>
            </w:pPr>
            <w:r>
              <w:rPr>
                <w:sz w:val="18"/>
              </w:rPr>
              <w:t>-</w:t>
            </w:r>
          </w:p>
        </w:tc>
      </w:tr>
      <w:tr>
        <w:tc>
          <w:tcPr>
            <w:tcW w:type="dxa" w:w="2160"/>
          </w:tcPr>
          <w:p>
            <w:pPr>
              <w:spacing w:after="40"/>
            </w:pPr>
            <w:r>
              <w:rPr>
                <w:sz w:val="18"/>
              </w:rPr>
              <w:t>L-1: ledger@0.95 + B13 evades on fewer seeds than B13 alone, p&lt;0.05</w:t>
            </w:r>
          </w:p>
        </w:tc>
        <w:tc>
          <w:tcPr>
            <w:tcW w:type="dxa" w:w="2160"/>
          </w:tcPr>
          <w:p>
            <w:pPr>
              <w:spacing w:after="40"/>
            </w:pPr>
            <w:r>
              <w:rPr>
                <w:sz w:val="18"/>
              </w:rPr>
              <w:t>HELD</w:t>
            </w:r>
          </w:p>
        </w:tc>
        <w:tc>
          <w:tcPr>
            <w:tcW w:type="dxa" w:w="2160"/>
          </w:tcPr>
          <w:p>
            <w:pPr>
              <w:spacing w:after="40"/>
            </w:pPr>
            <w:r>
              <w:rPr>
                <w:sz w:val="18"/>
              </w:rPr>
              <w:t>22/48 -&gt; 5/48, p=7.6e-05</w:t>
            </w:r>
          </w:p>
        </w:tc>
        <w:tc>
          <w:tcPr>
            <w:tcW w:type="dxa" w:w="2160"/>
          </w:tcPr>
          <w:p>
            <w:pPr>
              <w:spacing w:after="40"/>
            </w:pPr>
            <w:r>
              <w:rPr>
                <w:sz w:val="18"/>
              </w:rPr>
              <w:t>0.00076</w:t>
            </w:r>
          </w:p>
        </w:tc>
      </w:tr>
      <w:tr>
        <w:tc>
          <w:tcPr>
            <w:tcW w:type="dxa" w:w="2160"/>
          </w:tcPr>
          <w:p>
            <w:pPr>
              <w:spacing w:after="40"/>
            </w:pPr>
            <w:r>
              <w:rPr>
                <w:sz w:val="18"/>
              </w:rPr>
              <w:t>L-2: ledger-arm evasion &lt;= 8/48</w:t>
            </w:r>
          </w:p>
        </w:tc>
        <w:tc>
          <w:tcPr>
            <w:tcW w:type="dxa" w:w="2160"/>
          </w:tcPr>
          <w:p>
            <w:pPr>
              <w:spacing w:after="40"/>
            </w:pPr>
            <w:r>
              <w:rPr>
                <w:sz w:val="18"/>
              </w:rPr>
              <w:t>HELD</w:t>
            </w:r>
          </w:p>
        </w:tc>
        <w:tc>
          <w:tcPr>
            <w:tcW w:type="dxa" w:w="2160"/>
          </w:tcPr>
          <w:p>
            <w:pPr>
              <w:spacing w:after="40"/>
            </w:pPr>
            <w:r>
              <w:rPr>
                <w:sz w:val="18"/>
              </w:rPr>
              <w:t>5/48</w:t>
            </w:r>
          </w:p>
        </w:tc>
        <w:tc>
          <w:tcPr>
            <w:tcW w:type="dxa" w:w="2160"/>
          </w:tcPr>
          <w:p>
            <w:pPr>
              <w:spacing w:after="40"/>
            </w:pPr>
            <w:r>
              <w:rPr>
                <w:sz w:val="18"/>
              </w:rPr>
              <w:t>-</w:t>
            </w:r>
          </w:p>
        </w:tc>
      </w:tr>
      <w:tr>
        <w:tc>
          <w:tcPr>
            <w:tcW w:type="dxa" w:w="2160"/>
          </w:tcPr>
          <w:p>
            <w:pPr>
              <w:spacing w:after="40"/>
            </w:pPr>
            <w:r>
              <w:rPr>
                <w:sz w:val="18"/>
              </w:rPr>
              <w:t>R-1: risk-weighted ranking + admission corroboration exposes poison less than the fixed gate, p&lt;0.05</w:t>
            </w:r>
          </w:p>
        </w:tc>
        <w:tc>
          <w:tcPr>
            <w:tcW w:type="dxa" w:w="2160"/>
          </w:tcPr>
          <w:p>
            <w:pPr>
              <w:spacing w:after="40"/>
            </w:pPr>
            <w:r>
              <w:rPr>
                <w:sz w:val="18"/>
              </w:rPr>
              <w:t>HELD</w:t>
            </w:r>
          </w:p>
        </w:tc>
        <w:tc>
          <w:tcPr>
            <w:tcW w:type="dxa" w:w="2160"/>
          </w:tcPr>
          <w:p>
            <w:pPr>
              <w:spacing w:after="40"/>
            </w:pPr>
            <w:r>
              <w:rPr>
                <w:sz w:val="18"/>
              </w:rPr>
              <w:t>88 -&gt; 82 of 309, p=0.031</w:t>
            </w:r>
          </w:p>
        </w:tc>
        <w:tc>
          <w:tcPr>
            <w:tcW w:type="dxa" w:w="2160"/>
          </w:tcPr>
          <w:p>
            <w:pPr>
              <w:spacing w:after="40"/>
            </w:pPr>
            <w:r>
              <w:rPr>
                <w:sz w:val="18"/>
              </w:rPr>
              <w:t>0.19</w:t>
            </w:r>
          </w:p>
        </w:tc>
      </w:tr>
      <w:tr>
        <w:tc>
          <w:tcPr>
            <w:tcW w:type="dxa" w:w="2160"/>
          </w:tcPr>
          <w:p>
            <w:pPr>
              <w:spacing w:after="40"/>
            </w:pPr>
            <w:r>
              <w:rPr>
                <w:sz w:val="18"/>
              </w:rPr>
              <w:t>R-2: risk-weighted ranking (divergence only) exposes no more than the fixed gate</w:t>
            </w:r>
          </w:p>
        </w:tc>
        <w:tc>
          <w:tcPr>
            <w:tcW w:type="dxa" w:w="2160"/>
          </w:tcPr>
          <w:p>
            <w:pPr>
              <w:spacing w:after="40"/>
            </w:pPr>
            <w:r>
              <w:rPr>
                <w:sz w:val="18"/>
              </w:rPr>
              <w:t>HELD</w:t>
            </w:r>
          </w:p>
        </w:tc>
        <w:tc>
          <w:tcPr>
            <w:tcW w:type="dxa" w:w="2160"/>
          </w:tcPr>
          <w:p>
            <w:pPr>
              <w:spacing w:after="40"/>
            </w:pPr>
            <w:r>
              <w:rPr>
                <w:sz w:val="18"/>
              </w:rPr>
              <w:t>88 vs 88</w:t>
            </w:r>
          </w:p>
        </w:tc>
        <w:tc>
          <w:tcPr>
            <w:tcW w:type="dxa" w:w="2160"/>
          </w:tcPr>
          <w:p>
            <w:pPr>
              <w:spacing w:after="40"/>
            </w:pPr>
            <w:r>
              <w:rPr>
                <w:sz w:val="18"/>
              </w:rPr>
              <w:t>-</w:t>
            </w:r>
          </w:p>
        </w:tc>
      </w:tr>
      <w:tr>
        <w:tc>
          <w:tcPr>
            <w:tcW w:type="dxa" w:w="2160"/>
          </w:tcPr>
          <w:p>
            <w:pPr>
              <w:spacing w:after="40"/>
            </w:pPr>
            <w:r>
              <w:rPr>
                <w:sz w:val="18"/>
              </w:rPr>
              <w:t>R-3: A3 benign displacement within 5 points of A1's</w:t>
            </w:r>
          </w:p>
        </w:tc>
        <w:tc>
          <w:tcPr>
            <w:tcW w:type="dxa" w:w="2160"/>
          </w:tcPr>
          <w:p>
            <w:pPr>
              <w:spacing w:after="40"/>
            </w:pPr>
            <w:r>
              <w:rPr>
                <w:sz w:val="18"/>
              </w:rPr>
              <w:t>HELD</w:t>
            </w:r>
          </w:p>
        </w:tc>
        <w:tc>
          <w:tcPr>
            <w:tcW w:type="dxa" w:w="2160"/>
          </w:tcPr>
          <w:p>
            <w:pPr>
              <w:spacing w:after="40"/>
            </w:pPr>
            <w:r>
              <w:rPr>
                <w:sz w:val="18"/>
              </w:rPr>
              <w:t>0.0 vs 0.0 points</w:t>
            </w:r>
          </w:p>
        </w:tc>
        <w:tc>
          <w:tcPr>
            <w:tcW w:type="dxa" w:w="2160"/>
          </w:tcPr>
          <w:p>
            <w:pPr>
              <w:spacing w:after="40"/>
            </w:pPr>
            <w:r>
              <w:rPr>
                <w:sz w:val="18"/>
              </w:rPr>
              <w:t>-</w:t>
            </w:r>
          </w:p>
        </w:tc>
      </w:tr>
      <w:tr>
        <w:tc>
          <w:tcPr>
            <w:tcW w:type="dxa" w:w="2160"/>
          </w:tcPr>
          <w:p>
            <w:pPr>
              <w:spacing w:after="40"/>
            </w:pPr>
            <w:r>
              <w:rPr>
                <w:sz w:val="18"/>
              </w:rPr>
              <w:t>R-4: the fixed-gate guard exposes poison less than no defense, p&lt;0.05</w:t>
            </w:r>
          </w:p>
        </w:tc>
        <w:tc>
          <w:tcPr>
            <w:tcW w:type="dxa" w:w="2160"/>
          </w:tcPr>
          <w:p>
            <w:pPr>
              <w:spacing w:after="40"/>
            </w:pPr>
            <w:r>
              <w:rPr>
                <w:sz w:val="18"/>
              </w:rPr>
              <w:t>FAILED</w:t>
            </w:r>
          </w:p>
        </w:tc>
        <w:tc>
          <w:tcPr>
            <w:tcW w:type="dxa" w:w="2160"/>
          </w:tcPr>
          <w:p>
            <w:pPr>
              <w:spacing w:after="40"/>
            </w:pPr>
            <w:r>
              <w:rPr>
                <w:sz w:val="18"/>
              </w:rPr>
              <w:t>89 -&gt; 88 of 309, p=1</w:t>
            </w:r>
          </w:p>
        </w:tc>
        <w:tc>
          <w:tcPr>
            <w:tcW w:type="dxa" w:w="2160"/>
          </w:tcPr>
          <w:p>
            <w:pPr>
              <w:spacing w:after="40"/>
            </w:pPr>
            <w:r>
              <w:rPr>
                <w:sz w:val="18"/>
              </w:rPr>
              <w:t>1</w:t>
            </w:r>
          </w:p>
        </w:tc>
      </w:tr>
      <w:tr>
        <w:tc>
          <w:tcPr>
            <w:tcW w:type="dxa" w:w="2160"/>
          </w:tcPr>
          <w:p>
            <w:pPr>
              <w:spacing w:after="40"/>
            </w:pPr>
            <w:r>
              <w:rPr>
                <w:sz w:val="18"/>
              </w:rPr>
              <w:t>R6-1: fresh stores: risk-weighted + corroboration exposes less than the fixed gate, p&lt;0.05 (replicates R-1)</w:t>
            </w:r>
          </w:p>
        </w:tc>
        <w:tc>
          <w:tcPr>
            <w:tcW w:type="dxa" w:w="2160"/>
          </w:tcPr>
          <w:p>
            <w:pPr>
              <w:spacing w:after="40"/>
            </w:pPr>
            <w:r>
              <w:rPr>
                <w:sz w:val="18"/>
              </w:rPr>
              <w:t>HELD</w:t>
            </w:r>
          </w:p>
        </w:tc>
        <w:tc>
          <w:tcPr>
            <w:tcW w:type="dxa" w:w="2160"/>
          </w:tcPr>
          <w:p>
            <w:pPr>
              <w:spacing w:after="40"/>
            </w:pPr>
            <w:r>
              <w:rPr>
                <w:sz w:val="18"/>
              </w:rPr>
              <w:t>76 -&gt; 68 of 309, p=0.0078</w:t>
            </w:r>
          </w:p>
        </w:tc>
        <w:tc>
          <w:tcPr>
            <w:tcW w:type="dxa" w:w="2160"/>
          </w:tcPr>
          <w:p>
            <w:pPr>
              <w:spacing w:after="40"/>
            </w:pPr>
            <w:r>
              <w:rPr>
                <w:sz w:val="18"/>
              </w:rPr>
              <w:t>0.062</w:t>
            </w:r>
          </w:p>
        </w:tc>
      </w:tr>
      <w:tr>
        <w:tc>
          <w:tcPr>
            <w:tcW w:type="dxa" w:w="2160"/>
          </w:tcPr>
          <w:p>
            <w:pPr>
              <w:spacing w:after="40"/>
            </w:pPr>
            <w:r>
              <w:rPr>
                <w:sz w:val="18"/>
              </w:rPr>
              <w:t>R6-2: campaign: the semantic fixed gate exposes less than no defense, p&lt;0.05</w:t>
            </w:r>
          </w:p>
        </w:tc>
        <w:tc>
          <w:tcPr>
            <w:tcW w:type="dxa" w:w="2160"/>
          </w:tcPr>
          <w:p>
            <w:pPr>
              <w:spacing w:after="40"/>
            </w:pPr>
            <w:r>
              <w:rPr>
                <w:sz w:val="18"/>
              </w:rPr>
              <w:t>HELD</w:t>
            </w:r>
          </w:p>
        </w:tc>
        <w:tc>
          <w:tcPr>
            <w:tcW w:type="dxa" w:w="2160"/>
          </w:tcPr>
          <w:p>
            <w:pPr>
              <w:spacing w:after="40"/>
            </w:pPr>
            <w:r>
              <w:rPr>
                <w:sz w:val="18"/>
              </w:rPr>
              <w:t>99 -&gt; 63 of 302, p=2.9e-11</w:t>
            </w:r>
          </w:p>
        </w:tc>
        <w:tc>
          <w:tcPr>
            <w:tcW w:type="dxa" w:w="2160"/>
          </w:tcPr>
          <w:p>
            <w:pPr>
              <w:spacing w:after="40"/>
            </w:pPr>
            <w:r>
              <w:rPr>
                <w:sz w:val="18"/>
              </w:rPr>
              <w:t>3.8e-10</w:t>
            </w:r>
          </w:p>
        </w:tc>
      </w:tr>
      <w:tr>
        <w:tc>
          <w:tcPr>
            <w:tcW w:type="dxa" w:w="2160"/>
          </w:tcPr>
          <w:p>
            <w:pPr>
              <w:spacing w:after="40"/>
            </w:pPr>
            <w:r>
              <w:rPr>
                <w:sz w:val="18"/>
              </w:rPr>
              <w:t>R6-3: campaign: the lexical gate removes fewer exposures than the semantic gate</w:t>
            </w:r>
          </w:p>
        </w:tc>
        <w:tc>
          <w:tcPr>
            <w:tcW w:type="dxa" w:w="2160"/>
          </w:tcPr>
          <w:p>
            <w:pPr>
              <w:spacing w:after="40"/>
            </w:pPr>
            <w:r>
              <w:rPr>
                <w:sz w:val="18"/>
              </w:rPr>
              <w:t>HELD</w:t>
            </w:r>
          </w:p>
        </w:tc>
        <w:tc>
          <w:tcPr>
            <w:tcW w:type="dxa" w:w="2160"/>
          </w:tcPr>
          <w:p>
            <w:pPr>
              <w:spacing w:after="40"/>
            </w:pPr>
            <w:r>
              <w:rPr>
                <w:sz w:val="18"/>
              </w:rPr>
              <w:t>lexical -1 vs semantic 36</w:t>
            </w:r>
          </w:p>
        </w:tc>
        <w:tc>
          <w:tcPr>
            <w:tcW w:type="dxa" w:w="2160"/>
          </w:tcPr>
          <w:p>
            <w:pPr>
              <w:spacing w:after="40"/>
            </w:pPr>
            <w:r>
              <w:rPr>
                <w:sz w:val="18"/>
              </w:rPr>
              <w:t>-</w:t>
            </w:r>
          </w:p>
        </w:tc>
      </w:tr>
      <w:tr>
        <w:tc>
          <w:tcPr>
            <w:tcW w:type="dxa" w:w="2160"/>
          </w:tcPr>
          <w:p>
            <w:pPr>
              <w:spacing w:after="40"/>
            </w:pPr>
            <w:r>
              <w:rPr>
                <w:sz w:val="18"/>
              </w:rPr>
              <w:t>R6-4: campaign: semantic gate benign displacement &lt;= 5 points</w:t>
            </w:r>
          </w:p>
        </w:tc>
        <w:tc>
          <w:tcPr>
            <w:tcW w:type="dxa" w:w="2160"/>
          </w:tcPr>
          <w:p>
            <w:pPr>
              <w:spacing w:after="40"/>
            </w:pPr>
            <w:r>
              <w:rPr>
                <w:sz w:val="18"/>
              </w:rPr>
              <w:t>HELD</w:t>
            </w:r>
          </w:p>
        </w:tc>
        <w:tc>
          <w:tcPr>
            <w:tcW w:type="dxa" w:w="2160"/>
          </w:tcPr>
          <w:p>
            <w:pPr>
              <w:spacing w:after="40"/>
            </w:pPr>
            <w:r>
              <w:rPr>
                <w:sz w:val="18"/>
              </w:rPr>
              <w:t>2.78 points</w:t>
            </w:r>
          </w:p>
        </w:tc>
        <w:tc>
          <w:tcPr>
            <w:tcW w:type="dxa" w:w="2160"/>
          </w:tcPr>
          <w:p>
            <w:pPr>
              <w:spacing w:after="40"/>
            </w:pPr>
            <w:r>
              <w:rPr>
                <w:sz w:val="18"/>
              </w:rPr>
              <w:t>-</w:t>
            </w:r>
          </w:p>
        </w:tc>
      </w:tr>
      <w:tr>
        <w:tc>
          <w:tcPr>
            <w:tcW w:type="dxa" w:w="2160"/>
          </w:tcPr>
          <w:p>
            <w:pPr>
              <w:spacing w:after="40"/>
            </w:pPr>
            <w:r>
              <w:rPr>
                <w:sz w:val="18"/>
              </w:rPr>
              <w:t>P8-1: the frame reduces direct-question usefulness on 600 new benign notes, p&lt;0.05</w:t>
            </w:r>
          </w:p>
        </w:tc>
        <w:tc>
          <w:tcPr>
            <w:tcW w:type="dxa" w:w="2160"/>
          </w:tcPr>
          <w:p>
            <w:pPr>
              <w:spacing w:after="40"/>
            </w:pPr>
            <w:r>
              <w:rPr>
                <w:sz w:val="18"/>
              </w:rPr>
              <w:t>FAILED</w:t>
            </w:r>
          </w:p>
        </w:tc>
        <w:tc>
          <w:tcPr>
            <w:tcW w:type="dxa" w:w="2160"/>
          </w:tcPr>
          <w:p>
            <w:pPr>
              <w:spacing w:after="40"/>
            </w:pPr>
            <w:r>
              <w:rPr>
                <w:sz w:val="18"/>
              </w:rPr>
              <w:t>372 -&gt; 349 of 600, p=0.056</w:t>
            </w:r>
          </w:p>
        </w:tc>
        <w:tc>
          <w:tcPr>
            <w:tcW w:type="dxa" w:w="2160"/>
          </w:tcPr>
          <w:p>
            <w:pPr>
              <w:spacing w:after="40"/>
            </w:pPr>
            <w:r>
              <w:rPr>
                <w:sz w:val="18"/>
              </w:rPr>
              <w:t>0.22</w:t>
            </w:r>
          </w:p>
        </w:tc>
      </w:tr>
      <w:tr>
        <w:tc>
          <w:tcPr>
            <w:tcW w:type="dxa" w:w="2160"/>
          </w:tcPr>
          <w:p>
            <w:pPr>
              <w:spacing w:after="40"/>
            </w:pPr>
            <w:r>
              <w:rPr>
                <w:sz w:val="18"/>
              </w:rPr>
              <w:t>P8-2: the frame reduces own-attack harm (pooled over original + new instances, amendment), p&lt;0.05</w:t>
            </w:r>
          </w:p>
        </w:tc>
        <w:tc>
          <w:tcPr>
            <w:tcW w:type="dxa" w:w="2160"/>
          </w:tcPr>
          <w:p>
            <w:pPr>
              <w:spacing w:after="40"/>
            </w:pPr>
            <w:r>
              <w:rPr>
                <w:sz w:val="18"/>
              </w:rPr>
              <w:t>HELD</w:t>
            </w:r>
          </w:p>
        </w:tc>
        <w:tc>
          <w:tcPr>
            <w:tcW w:type="dxa" w:w="2160"/>
          </w:tcPr>
          <w:p>
            <w:pPr>
              <w:spacing w:after="40"/>
            </w:pPr>
            <w:r>
              <w:rPr>
                <w:sz w:val="18"/>
              </w:rPr>
              <w:t>123 -&gt; 104 of 424, p=0.037 (new 175 alone: 53 -&gt; 44, p_new 0.15)</w:t>
            </w:r>
          </w:p>
        </w:tc>
        <w:tc>
          <w:tcPr>
            <w:tcW w:type="dxa" w:w="2160"/>
          </w:tcPr>
          <w:p>
            <w:pPr>
              <w:spacing w:after="40"/>
            </w:pPr>
            <w:r>
              <w:rPr>
                <w:sz w:val="18"/>
              </w:rPr>
              <w:t>0.19</w:t>
            </w:r>
          </w:p>
        </w:tc>
      </w:tr>
    </w:tbl>
    <w:p>
      <w:pPr>
        <w:spacing w:after="120"/>
      </w:pPr>
      <w:r>
        <w:t>Multiplicity. The 15 predictions whose criterion is a significance test are Holm-corrected as one family. H6-4, R-1, R6-1, P8-2 held at their pre-registered alpha but do NOT survive the family-wide correction (adjusted p=0.16, 0.19, 0.062, 0.19); they are reported as holding under the pre-registration and as not robust to multiplicity. Every other held significance prediction survives.</w:t>
      </w:r>
    </w:p>
    <w:p>
      <w:pPr>
        <w:spacing w:after="200"/>
      </w:pPr>
      <w:r>
        <w:rPr>
          <w:i/>
          <w:sz w:val="18"/>
        </w:rPr>
        <w:t>Table 17. Every round-7 pre-registered prediction, scored mechanically from the artifacts (phase17/report_round7.py): 39/47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a loss of 5.0 points (p=0.082): at the edge of this document's noise floor and not significant, so it is reported as a possible small cost rather than none. The harmful v1 frame, by contrast, cost 10 points.</w:t>
      </w:r>
    </w:p>
    <w:p>
      <w:pPr>
        <w:spacing w:after="120"/>
      </w:pPr>
      <w:r>
        <w:t>Hold-out 7 showed the frame does nothing against instruction-shaped memory (H7-7 failed). The reason is mechanical: its rewrite targets second-person text, and a planted standing rule is usually first-person or impersonal. An instruction-aware variant (v6: the same frame, plus -- only when the note states a rule or trigger -- a clause that the user did not set it) was designed from that mechanism and tested once on development data under a criterion committed before the run. On the 76 own attacks that state a rule, harm went 22 raw, 22 under the current frame and 10 under v6 (p=0.0075 vs the current frame); conditional backdoors 12 -&gt; 7 of 15. On the 54 benign notes containing rule words, usefulness was 31 under v6 against 27 under the current frame -- no cost. One design, measured once, on development data: hold-out 8 tests it (Section 13E).</w:t>
      </w:r>
    </w:p>
    <w:p>
      <w:pPr>
        <w:pStyle w:val="Heading2"/>
      </w:pPr>
      <w:r>
        <w:t>13D. Derived Memory: Laundering Through Consolidation, and a Semantic Containment Fix</w:t>
      </w:r>
    </w:p>
    <w:p>
      <w:pPr>
        <w:spacing w:after="120"/>
      </w:pPr>
      <w:r>
        <w:t>Every result so far treats each poison as a standalone memory. Real memory systems consolidate: an LLM periodically summarises recent memories into a new one. This is the first measurement of what that does to a poison, and it exercises two components Phase 14's live pilot never reached -- the propagation containment guard (no derived memories were ever written, so it had no ancestors) and the backward-chain origin attribution. On this project's 249 own-attack instances (development data; same store, retriever, agent and harm judge as the harm study), 148 of 249 consolidated summaries repeat the poison's claim.</w:t>
      </w:r>
    </w:p>
    <w:p>
      <w:pPr>
        <w:spacing w:after="120"/>
      </w:pPr>
      <w:r>
        <w:t>The consequence is a bypass of provenance. On the 161 instances B13 correctly excludes -- harm zero by the study's own convention -- serving the consolidated summary instead returns the payload: undefended harm 0 to 33 of 161 (p=2e-10). The propagation containment guard as built does almost nothing about it: its lexical lineage-taint withholds 2 of 102 payload-carrying summaries (33 to 31, p=0.5), because a summary is a paraphrase and shares few tokens with its source. Substituting a semantic retention measure into the same guard (sentence-embedding cosine, the same lexical-to-semantic swap as Phase 6's B2s-B8s) withholds 76 and cuts harm to 10 (p=2e-07), at a collateral cost of 4 of 79 benign corroboration-only summaries withheld.</w:t>
      </w:r>
    </w:p>
    <w:tbl>
      <w:tblPr>
        <w:tblStyle w:val="TableGrid"/>
        <w:tblW w:type="auto" w:w="0"/>
        <w:tblLook w:firstColumn="1" w:firstRow="1" w:lastColumn="0" w:lastRow="0" w:noHBand="0" w:noVBand="1" w:val="04A0"/>
      </w:tblPr>
      <w:tblGrid>
        <w:gridCol w:w="4320"/>
        <w:gridCol w:w="4320"/>
      </w:tblGrid>
      <w:tr>
        <w:tc>
          <w:tcPr>
            <w:tcW w:type="dxa" w:w="4320"/>
          </w:tcPr>
          <w:p>
            <w:pPr>
              <w:spacing w:after="40"/>
            </w:pPr>
            <w:r>
              <w:rPr>
                <w:b/>
                <w:sz w:val="18"/>
              </w:rPr>
              <w:t>Policy on a B13-excluded poison</w:t>
            </w:r>
          </w:p>
        </w:tc>
        <w:tc>
          <w:tcPr>
            <w:tcW w:type="dxa" w:w="4320"/>
          </w:tcPr>
          <w:p>
            <w:pPr>
              <w:spacing w:after="40"/>
            </w:pPr>
            <w:r>
              <w:rPr>
                <w:b/>
                <w:sz w:val="18"/>
              </w:rPr>
              <w:t>Harmful of 161</w:t>
            </w:r>
          </w:p>
        </w:tc>
      </w:tr>
      <w:tr>
        <w:tc>
          <w:tcPr>
            <w:tcW w:type="dxa" w:w="4320"/>
          </w:tcPr>
          <w:p>
            <w:pPr>
              <w:spacing w:after="40"/>
            </w:pPr>
            <w:r>
              <w:rPr>
                <w:sz w:val="18"/>
              </w:rPr>
              <w:t>B13 excludes it (study convention)</w:t>
            </w:r>
          </w:p>
        </w:tc>
        <w:tc>
          <w:tcPr>
            <w:tcW w:type="dxa" w:w="4320"/>
          </w:tcPr>
          <w:p>
            <w:pPr>
              <w:spacing w:after="40"/>
            </w:pPr>
            <w:r>
              <w:rPr>
                <w:sz w:val="18"/>
              </w:rPr>
              <w:t>0</w:t>
            </w:r>
          </w:p>
        </w:tc>
      </w:tr>
      <w:tr>
        <w:tc>
          <w:tcPr>
            <w:tcW w:type="dxa" w:w="4320"/>
          </w:tcPr>
          <w:p>
            <w:pPr>
              <w:spacing w:after="40"/>
            </w:pPr>
            <w:r>
              <w:rPr>
                <w:sz w:val="18"/>
              </w:rPr>
              <w:t>+ consolidation serves the summary (laundering)</w:t>
            </w:r>
          </w:p>
        </w:tc>
        <w:tc>
          <w:tcPr>
            <w:tcW w:type="dxa" w:w="4320"/>
          </w:tcPr>
          <w:p>
            <w:pPr>
              <w:spacing w:after="40"/>
            </w:pPr>
            <w:r>
              <w:rPr>
                <w:sz w:val="18"/>
              </w:rPr>
              <w:t>33</w:t>
            </w:r>
          </w:p>
        </w:tc>
      </w:tr>
      <w:tr>
        <w:tc>
          <w:tcPr>
            <w:tcW w:type="dxa" w:w="4320"/>
          </w:tcPr>
          <w:p>
            <w:pPr>
              <w:spacing w:after="40"/>
            </w:pPr>
            <w:r>
              <w:rPr>
                <w:sz w:val="18"/>
              </w:rPr>
              <w:t>+ lexical propagation containment</w:t>
            </w:r>
          </w:p>
        </w:tc>
        <w:tc>
          <w:tcPr>
            <w:tcW w:type="dxa" w:w="4320"/>
          </w:tcPr>
          <w:p>
            <w:pPr>
              <w:spacing w:after="40"/>
            </w:pPr>
            <w:r>
              <w:rPr>
                <w:sz w:val="18"/>
              </w:rPr>
              <w:t>31</w:t>
            </w:r>
          </w:p>
        </w:tc>
      </w:tr>
      <w:tr>
        <w:tc>
          <w:tcPr>
            <w:tcW w:type="dxa" w:w="4320"/>
          </w:tcPr>
          <w:p>
            <w:pPr>
              <w:spacing w:after="40"/>
            </w:pPr>
            <w:r>
              <w:rPr>
                <w:sz w:val="18"/>
              </w:rPr>
              <w:t>+ semantic propagation containment</w:t>
            </w:r>
          </w:p>
        </w:tc>
        <w:tc>
          <w:tcPr>
            <w:tcW w:type="dxa" w:w="4320"/>
          </w:tcPr>
          <w:p>
            <w:pPr>
              <w:spacing w:after="40"/>
            </w:pPr>
            <w:r>
              <w:rPr>
                <w:sz w:val="18"/>
              </w:rPr>
              <w:t>10</w:t>
            </w:r>
          </w:p>
        </w:tc>
      </w:tr>
    </w:tbl>
    <w:p>
      <w:pPr>
        <w:spacing w:after="200"/>
      </w:pPr>
      <w:r>
        <w:rPr>
          <w:i/>
          <w:sz w:val="18"/>
        </w:rPr>
        <w:t>Table 22. Laundering through consolidation on the B13-excluded instances, and the containment guard's lexical vs semantic retention. Source: phase17/data/derived_memory_eval.json.</w:t>
      </w:r>
    </w:p>
    <w:p>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R6_laundering.png"/>
                    <pic:cNvPicPr/>
                  </pic:nvPicPr>
                  <pic:blipFill>
                    <a:blip r:embed="rId10"/>
                    <a:stretch>
                      <a:fillRect/>
                    </a:stretch>
                  </pic:blipFill>
                  <pic:spPr>
                    <a:xfrm>
                      <a:off x="0" y="0"/>
                      <a:ext cx="5760720" cy="3600450"/>
                    </a:xfrm>
                    <a:prstGeom prst="rect"/>
                  </pic:spPr>
                </pic:pic>
              </a:graphicData>
            </a:graphic>
          </wp:inline>
        </w:drawing>
      </w:r>
    </w:p>
    <w:p>
      <w:pPr>
        <w:spacing w:after="200"/>
      </w:pPr>
      <w:r>
        <w:rPr>
          <w:i/>
          <w:sz w:val="18"/>
        </w:rPr>
        <w:t>Figure 2. Laundering through consolidation and the semantic containment fix: a poison B13 excludes returns through the consolidated summary; lexical propagation containment barely acts, the semantic measure nearly eliminates it (confirmed on hold-out 8). Drawn from the artifacts.</w:t>
      </w:r>
    </w:p>
    <w:p>
      <w:pPr>
        <w:spacing w:after="120"/>
      </w:pPr>
      <w:r>
        <w:t>The backward chain, run on the 33 harmful laundered answers, traces 30 to the derived memory and then to an ancestor. Content-only origin attribution names the poison ancestor in 16 of 33 and is ambiguous (its top two ancestors within 0.05 cosine) in 4 -- the lineage ambiguity this project had reported as unreachable by design is, under consolidation, reachable and now measured. With taint states the poison is the only tainted ancestor, so state-informed attribution is unique by construction. This is a development result on a new attack surface, not a clean-hold-out generalisation claim.</w:t>
      </w:r>
    </w:p>
    <w:p>
      <w:pPr>
        <w:pStyle w:val="Heading2"/>
      </w:pPr>
      <w:r>
        <w:t>13E. Hold-Out 8: The Generalized Defenses, Tested Once on Unseen Attacks</w:t>
      </w:r>
    </w:p>
    <w:p>
      <w:pPr>
        <w:spacing w:after="120"/>
      </w:pPr>
      <w:r>
        <w:t>Hold-out 8 is a fourth frozen memory-poisoning / sleeper-shaped corpus (160 attacks, 171 benign; standing instructions, conditional backdoors, fact contradictions, additive fabrications), authored by a different model for a different owner and scored once under predictions committed before it was built (addendum 7). It tests every generalized defense this round introduced. Provenance again beats fusion on memory poisoning: B13 118/160 (73.8%) against B14 69/160 (43.1%), p=4.6e-14 -- the provenance lead holds on a third independent memory-poisoning hold-out.</w:t>
      </w:r>
    </w:p>
    <w:p>
      <w:pPr>
        <w:spacing w:after="120"/>
      </w:pPr>
      <w:r>
        <w:t>The generalized UNION defense (U-1) holds: B13 alone reaches 118, the anomaly signal 59, but their union 141/160 (88.1%) -- and with the supervised detector 148/160 (92.5%) -- beating every single detector on unseen attacks. CORRECTION (remediation 2026-10-12, register G3-4): that union, as pre-registered, fitted the anomaly signal's clusters on half of hold-out 8's benign notes and set its threshold at a percentile of the OTHER half, then reported FPR on that same half, so its benign FPR (8/85) is fixed by construction rather than measured. Re-scored without that leak (Section 15): with the threshold fitted on one benign half and FPR measured on the other, the union reaches 153/160 at 11/85 benign; with the development-fitted model the shipped signal uses, the anomaly flags 137/171 of hold-out 8's benign notes. The union generalises only with per-owner benign calibration.</w:t>
      </w:r>
    </w:p>
    <w:p>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R5_union_defense.png"/>
                    <pic:cNvPicPr/>
                  </pic:nvPicPr>
                  <pic:blipFill>
                    <a:blip r:embed="rId11"/>
                    <a:stretch>
                      <a:fillRect/>
                    </a:stretch>
                  </pic:blipFill>
                  <pic:spPr>
                    <a:xfrm>
                      <a:off x="0" y="0"/>
                      <a:ext cx="5760720" cy="3600450"/>
                    </a:xfrm>
                    <a:prstGeom prst="rect"/>
                  </pic:spPr>
                </pic:pic>
              </a:graphicData>
            </a:graphic>
          </wp:inline>
        </w:drawing>
      </w:r>
    </w:p>
    <w:p>
      <w:pPr>
        <w:spacing w:after="200"/>
      </w:pPr>
      <w:r>
        <w:rPr>
          <w:i/>
          <w:sz w:val="18"/>
        </w:rPr>
        <w:t>Figure 3. The generalized union defense on development data: provenance and the planted-memory anomaly are each strong on their own attack type and weak elsewhere; their union covers every type. A learned attack-type router does not beat the union. Drawn from the artifacts.</w:t>
      </w:r>
    </w:p>
    <w:p>
      <w:pPr>
        <w:spacing w:after="120"/>
      </w:pPr>
      <w:r>
        <w:t>Self-propagation generalises (L8-1, L8-2): 138/160 consolidated summaries carry the payload, and on the 108 that launder a B13-excluded poison, lexical propagation containment admits 93 of them while the SEMANTIC measure admits 12 -- the development finding (Section 13D) reproduced on a clean hold-out.</w:t>
      </w:r>
    </w:p>
    <w:p>
      <w:pPr>
        <w:spacing w:after="120"/>
      </w:pPr>
      <w:r>
        <w:t>Sleeper generalises (S8-2): the dedicated admission guard flags 0/160 (Finding A, confirmed on fresh data), but the content-independent embedding-anomaly signal flags 145/160 (90.6%) at 9/85 benign -- a result whose threshold was set on hold-out 8's own benign notes (see the correction above): it shows in-corpus separability, not a deployable detector; the shipped dev-fitted signal flags most of hold-out 8's benign notes (Section 15).</w:t>
      </w:r>
    </w:p>
    <w:p>
      <w:pPr>
        <w:spacing w:after="120"/>
      </w:pPr>
      <w:r>
        <w:t>The instruction-aware frame generalises (F8-1): on the 81 rule-stating attacks, harm is 65 raw, 51 under the current frame and 44 under v6. Every hold-out-8 prediction that was scored held, but all seven were directional, U-2 (the router) was never scored on hold-out 8, F8-1's difference is not significant (paired p=0.17), and U-1/S8-2 rest on the transductive threshold above.</w:t>
      </w:r>
    </w:p>
    <w:p>
      <w:pPr>
        <w:spacing w:after="120"/>
      </w:pPr>
      <w:r>
        <w:t>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w:t>
      </w:r>
    </w:p>
    <w:p>
      <w:pPr>
        <w:spacing w:after="120"/>
      </w:pPr>
      <w:r>
        <w:t>Adaptive attacker against the neutralisation frame: given the defense's own feedback and 5 rewrites, it evaded on 6 of 31 seeds that the defense had stopped (19.4%; 95% CI 9.2%-36.3%). Reference: stateless detection: 32/130 = 24.6% (eval_rejection_powered). Seeds were attacks the defense stopped, so this is an evasion rate conditional on an initial catch. DESCRIPTIVE ONLY: too few eligible seeds for the power check, so no test is reported.</w:t>
      </w:r>
    </w:p>
    <w:p>
      <w:pPr>
        <w:spacing w:after="120"/>
      </w:pPr>
      <w:r>
        <w:t>Adaptive attacker against corroboration (B13): given the defense's own feedback and 5 rewrites, it evaded on 22 of 48 seeds that the defense had stopped (45.8%; 95% CI 32.6%-59.7%). Reference: stateless detection: 32/130 = 24.6% (eval_rejection_powered). Seeds were attacks the defense stopped, so this is an evasion rate conditional on an initial catch. Against the stateless reference sample (32/130), Fisher p=0.0096.</w:t>
      </w:r>
    </w:p>
    <w:p>
      <w:pPr>
        <w:spacing w:after="120"/>
      </w:pPr>
      <w:r>
        <w:t>EXPLORATORY (post-hoc, development data, an upper bound): the successful rewrites against corroboration are light paraphrases -- the median winning rewrite sits at cosine 0.976 to an attempt already rejected. The rejection ledger would have blocked 13 of the 22 evasions at its frozen radius (0.97) and 16 at the recommended 0.95, leaving at most 6/48. A blocked attacker would have kept rewriting, so this bounds the composition rather than measuring it; the composed run is listed as open. Source: phase17/data/adaptive_ledger_exploratory.json.</w:t>
      </w:r>
    </w:p>
    <w:p>
      <w:pPr>
        <w:spacing w:after="120"/>
      </w:pPr>
      <w:r>
        <w:t>MEASURED (pre-registration addendum 4, committed before the run): the composition, on the identical 48 seeds with the same attacker and budget. Corroboration wrapped by the ledger at radius 0.95 was evaded on 5 of 48 seeds against 22 without it (paired +1/-18, exact McNemar p=7.6e-05); prediction L-1 HELD, L-2 HELD. The ledger's cost at this radius is the 6.4% ledger-poisoning blast radius measured on development data. Source: phase17/data/adaptive_ledger_b13.json.</w:t>
      </w:r>
    </w:p>
    <w:p>
      <w:r>
        <w:drawing>
          <wp:inline xmlns:a="http://schemas.openxmlformats.org/drawingml/2006/main" xmlns:pic="http://schemas.openxmlformats.org/drawingml/2006/picture">
            <wp:extent cx="5760720" cy="2982020"/>
            <wp:docPr id="4" name="Picture 4"/>
            <wp:cNvGraphicFramePr>
              <a:graphicFrameLocks noChangeAspect="1"/>
            </wp:cNvGraphicFramePr>
            <a:graphic>
              <a:graphicData uri="http://schemas.openxmlformats.org/drawingml/2006/picture">
                <pic:pic>
                  <pic:nvPicPr>
                    <pic:cNvPr id="0" name="R3_adaptive.png"/>
                    <pic:cNvPicPr/>
                  </pic:nvPicPr>
                  <pic:blipFill>
                    <a:blip r:embed="rId12"/>
                    <a:stretch>
                      <a:fillRect/>
                    </a:stretch>
                  </pic:blipFill>
                  <pic:spPr>
                    <a:xfrm>
                      <a:off x="0" y="0"/>
                      <a:ext cx="5760720" cy="2982020"/>
                    </a:xfrm>
                    <a:prstGeom prst="rect"/>
                  </pic:spPr>
                </pic:pic>
              </a:graphicData>
            </a:graphic>
          </wp:inline>
        </w:drawing>
      </w:r>
    </w:p>
    <w:p>
      <w:pPr>
        <w:spacing w:after="200"/>
      </w:pPr>
      <w:r>
        <w:rPr>
          <w:i/>
          <w:sz w:val="18"/>
        </w:rPr>
        <w:t>Figure 4. Adaptive evasion within five feedback-guided rewrites: stateless detection and corroboration, each alone and behind the rejection ledger at radius 0.95. Development data.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Judge</w:t>
            </w:r>
          </w:p>
        </w:tc>
        <w:tc>
          <w:tcPr>
            <w:tcW w:type="dxa" w:w="1728"/>
          </w:tcPr>
          <w:p>
            <w:pPr>
              <w:spacing w:after="40"/>
            </w:pPr>
            <w:r>
              <w:rPr>
                <w:b/>
                <w:sz w:val="18"/>
              </w:rPr>
              <w:t>Task-alone base rate</w:t>
            </w:r>
          </w:p>
        </w:tc>
        <w:tc>
          <w:tcPr>
            <w:tcW w:type="dxa" w:w="1728"/>
          </w:tcPr>
          <w:p>
            <w:pPr>
              <w:spacing w:after="40"/>
            </w:pPr>
            <w:r>
              <w:rPr>
                <w:b/>
                <w:sz w:val="18"/>
              </w:rPr>
              <w:t>Harm undefended</w:t>
            </w:r>
          </w:p>
        </w:tc>
        <w:tc>
          <w:tcPr>
            <w:tcW w:type="dxa" w:w="1728"/>
          </w:tcPr>
          <w:p>
            <w:pPr>
              <w:spacing w:after="40"/>
            </w:pPr>
            <w:r>
              <w:rPr>
                <w:b/>
                <w:sz w:val="18"/>
              </w:rPr>
              <w:t>Harm with B13</w:t>
            </w:r>
          </w:p>
        </w:tc>
        <w:tc>
          <w:tcPr>
            <w:tcW w:type="dxa" w:w="1728"/>
          </w:tcPr>
          <w:p>
            <w:pPr>
              <w:spacing w:after="40"/>
            </w:pPr>
            <w:r>
              <w:rPr>
                <w:b/>
                <w:sz w:val="18"/>
              </w:rPr>
              <w:t>p (B13 vs undefended)</w:t>
            </w:r>
          </w:p>
        </w:tc>
      </w:tr>
      <w:tr>
        <w:tc>
          <w:tcPr>
            <w:tcW w:type="dxa" w:w="1728"/>
          </w:tcPr>
          <w:p>
            <w:pPr>
              <w:spacing w:after="40"/>
            </w:pPr>
            <w:r>
              <w:rPr>
                <w:sz w:val="18"/>
              </w:rPr>
              <w:t>J0_current</w:t>
            </w:r>
          </w:p>
        </w:tc>
        <w:tc>
          <w:tcPr>
            <w:tcW w:type="dxa" w:w="1728"/>
          </w:tcPr>
          <w:p>
            <w:pPr>
              <w:spacing w:after="40"/>
            </w:pPr>
            <w:r>
              <w:rPr>
                <w:sz w:val="18"/>
              </w:rPr>
              <w:t>0.6%</w:t>
            </w:r>
          </w:p>
        </w:tc>
        <w:tc>
          <w:tcPr>
            <w:tcW w:type="dxa" w:w="1728"/>
          </w:tcPr>
          <w:p>
            <w:pPr>
              <w:spacing w:after="40"/>
            </w:pPr>
            <w:r>
              <w:rPr>
                <w:sz w:val="18"/>
              </w:rPr>
              <w:t>32.0%</w:t>
            </w:r>
          </w:p>
        </w:tc>
        <w:tc>
          <w:tcPr>
            <w:tcW w:type="dxa" w:w="1728"/>
          </w:tcPr>
          <w:p>
            <w:pPr>
              <w:spacing w:after="40"/>
            </w:pPr>
            <w:r>
              <w:rPr>
                <w:sz w:val="18"/>
              </w:rPr>
              <w:t>10.4%</w:t>
            </w:r>
          </w:p>
        </w:tc>
        <w:tc>
          <w:tcPr>
            <w:tcW w:type="dxa" w:w="1728"/>
          </w:tcPr>
          <w:p>
            <w:pPr>
              <w:spacing w:after="40"/>
            </w:pPr>
            <w:r>
              <w:rPr>
                <w:sz w:val="18"/>
              </w:rPr>
              <w:t>2.2e-18</w:t>
            </w:r>
          </w:p>
        </w:tc>
      </w:tr>
      <w:tr>
        <w:tc>
          <w:tcPr>
            <w:tcW w:type="dxa" w:w="1728"/>
          </w:tcPr>
          <w:p>
            <w:pPr>
              <w:spacing w:after="40"/>
            </w:pPr>
            <w:r>
              <w:rPr>
                <w:sz w:val="18"/>
              </w:rPr>
              <w:t>J2_gemini_original</w:t>
            </w:r>
          </w:p>
        </w:tc>
        <w:tc>
          <w:tcPr>
            <w:tcW w:type="dxa" w:w="1728"/>
          </w:tcPr>
          <w:p>
            <w:pPr>
              <w:spacing w:after="40"/>
            </w:pPr>
            <w:r>
              <w:rPr>
                <w:sz w:val="18"/>
              </w:rPr>
              <w:t>2.3%</w:t>
            </w:r>
          </w:p>
        </w:tc>
        <w:tc>
          <w:tcPr>
            <w:tcW w:type="dxa" w:w="1728"/>
          </w:tcPr>
          <w:p>
            <w:pPr>
              <w:spacing w:after="40"/>
            </w:pPr>
            <w:r>
              <w:rPr>
                <w:sz w:val="18"/>
              </w:rPr>
              <w:t>58.3%</w:t>
            </w:r>
          </w:p>
        </w:tc>
        <w:tc>
          <w:tcPr>
            <w:tcW w:type="dxa" w:w="1728"/>
          </w:tcPr>
          <w:p>
            <w:pPr>
              <w:spacing w:after="40"/>
            </w:pPr>
            <w:r>
              <w:rPr>
                <w:sz w:val="18"/>
              </w:rPr>
              <w:t>24.6%</w:t>
            </w:r>
          </w:p>
        </w:tc>
        <w:tc>
          <w:tcPr>
            <w:tcW w:type="dxa" w:w="1728"/>
          </w:tcPr>
          <w:p>
            <w:pPr>
              <w:spacing w:after="40"/>
            </w:pPr>
            <w:r>
              <w:rPr>
                <w:sz w:val="18"/>
              </w:rPr>
              <w:t>3.6e-29</w:t>
            </w:r>
          </w:p>
        </w:tc>
      </w:tr>
    </w:tbl>
    <w:p>
      <w:pPr>
        <w:spacing w:after="200"/>
      </w:pPr>
      <w:r>
        <w:rPr>
          <w:i/>
          <w:sz w:val="18"/>
        </w:rPr>
        <w:t>Table 19. The harm study re-judged on identical full-text answers by the original judge and by the judge adopted against held-back human labels (J2_gemini_original) (309 instances). The original judge's figures elsewhere in this document stand as measured. Source: phase17/data/harm_rejudged.json.</w:t>
      </w:r>
    </w:p>
    <w:p>
      <w:r>
        <w:drawing>
          <wp:inline xmlns:a="http://schemas.openxmlformats.org/drawingml/2006/main" xmlns:pic="http://schemas.openxmlformats.org/drawingml/2006/picture">
            <wp:extent cx="5760720" cy="2534717"/>
            <wp:docPr id="5" name="Picture 5"/>
            <wp:cNvGraphicFramePr>
              <a:graphicFrameLocks noChangeAspect="1"/>
            </wp:cNvGraphicFramePr>
            <a:graphic>
              <a:graphicData uri="http://schemas.openxmlformats.org/drawingml/2006/picture">
                <pic:pic>
                  <pic:nvPicPr>
                    <pic:cNvPr id="0" name="R2_harm.png"/>
                    <pic:cNvPicPr/>
                  </pic:nvPicPr>
                  <pic:blipFill>
                    <a:blip r:embed="rId13"/>
                    <a:stretch>
                      <a:fillRect/>
                    </a:stretch>
                  </pic:blipFill>
                  <pic:spPr>
                    <a:xfrm>
                      <a:off x="0" y="0"/>
                      <a:ext cx="5760720" cy="2534717"/>
                    </a:xfrm>
                    <a:prstGeom prst="rect"/>
                  </pic:spPr>
                </pic:pic>
              </a:graphicData>
            </a:graphic>
          </wp:inline>
        </w:drawing>
      </w:r>
    </w:p>
    <w:p>
      <w:pPr>
        <w:spacing w:after="200"/>
      </w:pPr>
      <w:r>
        <w:rPr>
          <w:i/>
          <w:sz w:val="18"/>
        </w:rPr>
        <w:t>Figure 5. Left: the harm study's four arms with 95% Wilson intervals (original judge). Right: the same undefended answers scored by the original judge and by the judge adopted against held-back human labels.</w:t>
      </w:r>
    </w:p>
    <w:p>
      <w:pPr>
        <w:spacing w:after="120"/>
      </w:pPr>
      <w:r>
        <w:t>Harm with a stronger agent (gemini-3.5-flash-lite, seeded 100 of the 309 harm-study instances (seed 41); an estimate): undefended 36.0% against qwen's 31.0% on the same items (paired p=0.46); with B13, 14.0% against 13.0%. Task-alone base rate for the stronger agent: 0.0%.</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Phase 10's risk-weighted retrieval ranking, evaluated for the first time (pre-registration addendum 5). It was built and unit-tested in Phase 10 but never measured: the offline pipeline gives every candidate one constant retrieval score, and Phase 14's live path is exclusion-only, so a downrank changed nothing there. On the 309 harm-study stores, re-ranking the top 20 and passing the top 5 to the agent, the poison reached the agent in 89 cases undefended, 88 under the fixed-gate consensus guard, 88 under risk-weighted ranking alone and 82 when the admission guard's fired signals were supplied as corroboration (+0/-6 against the fixed gate, p=0.031), displacing 0.0 points of benign memories. Both readings are narrow and the reason is measured, not assumed: the fixed gate's lexical divergence is positive for only 120/6180 candidates, so it almost never acts on a realistic store (prediction R-4 FAILED: the existing guard does not measurably reduce exposure), and corroboration can only help where an admission signal fired -- on the poison in 28 of 309 instances and on no benign memory.</w:t>
      </w:r>
    </w:p>
    <w:p>
      <w:pPr>
        <w:spacing w:after="120"/>
      </w:pPr>
      <w:r>
        <w:t>Phase 10's risk-weighted MONITORING, evaluated for the first time (development data; it only orders a review queue, so the question is whether real poison reaches the top). In realistic retrieval pools -- the top 20 memories for each of 309 harm-study tasks -- B9 puts the poison on the review list in only 43 retrievals, and the lists are short (on average 0.75 items, 0.61 of them benign). When the poison is listed, risk ordering puts it first in 39 of 43 cases against 33.5 expected from the default order: the surface works as designed but has little to do. A first design that pooled unrelated items at random gave a much larger gain (precision 100% in the first 50 against 43%) but is reported only as an artifact: in a pool of unrelated items lexical divergence is positive for every item, so B9 routed 1706 of 1858 items to validation -- a queue no reviewer would face.</w:t>
      </w:r>
    </w:p>
    <w:p>
      <w:pPr>
        <w:spacing w:after="120"/>
      </w:pPr>
      <w:r>
        <w:t>Replication on fresh stores (pre-registration addendum 6: LoCoMo conversations no phase-17 measurement had used). Corroboration's gain replicated: 76 -&gt; 68 of 309 against the fixed gate (+0/-8, p=0.0078), so across the two independent store sets it removes the poison from the context in 14 cases and adds it in none. The lexical fixed gate again did nothing (76 -&gt; 76); the semantic gate, pre-specified as an arm but carrying no prediction, did act on these stores (76 -&gt; 67, p=0.0039, at 2.78 points of benign displacement) where on the original stores it had not -- so its single-poison benefit is store-dependent, and is reported as such.</w:t>
      </w:r>
    </w:p>
    <w:p>
      <w:pPr>
        <w:spacing w:after="120"/>
      </w:pPr>
      <w:r>
        <w:t>The consensus guard on the threat it was built for (addendum 6). The guard flags clusters of near-duplicate memories, and a single planted poison is never a cluster -- the diagnosis behind R-4's failure. With each poison planted alongside two NLI-validated paraphrases (a coordinated campaign; 302 instances, 7 excluded for lacking two valid paraphrases), any copy reached the agent in 99 cases undefended, 100 under the lexical gate and 63 under the semantic gate (p=2.9e-11 against none), at 2.78 points of benign displacement; with corroboration, 60. Read together: the retrieval guard is inert against a single poison and effective against a coordinated campaign once its divergence is semantic.</w:t>
      </w:r>
    </w:p>
    <w:p>
      <w:r>
        <w:drawing>
          <wp:inline xmlns:a="http://schemas.openxmlformats.org/drawingml/2006/main" xmlns:pic="http://schemas.openxmlformats.org/drawingml/2006/picture">
            <wp:extent cx="5760720" cy="2816352"/>
            <wp:docPr id="6" name="Picture 6"/>
            <wp:cNvGraphicFramePr>
              <a:graphicFrameLocks noChangeAspect="1"/>
            </wp:cNvGraphicFramePr>
            <a:graphic>
              <a:graphicData uri="http://schemas.openxmlformats.org/drawingml/2006/picture">
                <pic:pic>
                  <pic:nvPicPr>
                    <pic:cNvPr id="0" name="R4_retrieval.png"/>
                    <pic:cNvPicPr/>
                  </pic:nvPicPr>
                  <pic:blipFill>
                    <a:blip r:embed="rId14"/>
                    <a:stretch>
                      <a:fillRect/>
                    </a:stretch>
                  </pic:blipFill>
                  <pic:spPr>
                    <a:xfrm>
                      <a:off x="0" y="0"/>
                      <a:ext cx="5760720" cy="2816352"/>
                    </a:xfrm>
                    <a:prstGeom prst="rect"/>
                  </pic:spPr>
                </pic:pic>
              </a:graphicData>
            </a:graphic>
          </wp:inline>
        </w:drawing>
      </w:r>
    </w:p>
    <w:p>
      <w:pPr>
        <w:spacing w:after="200"/>
      </w:pPr>
      <w:r>
        <w:rPr>
          <w:i/>
          <w:sz w:val="18"/>
        </w:rPr>
        <w:t>Figure 6. How often the poison reaches the agent's top five on fresh stores, for a single poison and for a coordinated campaign (poison plus two paraphrases), under each retrieval arm. Development data.</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16; the full-population and working-subset recalls are both reported.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 (working / all)</w:t>
            </w:r>
          </w:p>
        </w:tc>
        <w:tc>
          <w:tcPr>
            <w:tcW w:type="dxa" w:w="1440"/>
          </w:tcPr>
          <w:p>
            <w:pPr>
              <w:spacing w:after="40"/>
            </w:pPr>
            <w:r>
              <w:rPr>
                <w:b/>
                <w:sz w:val="18"/>
              </w:rPr>
              <w:t>B12</w:t>
            </w:r>
          </w:p>
        </w:tc>
        <w:tc>
          <w:tcPr>
            <w:tcW w:type="dxa" w:w="1440"/>
          </w:tcPr>
          <w:p>
            <w:pPr>
              <w:spacing w:after="40"/>
            </w:pPr>
            <w:r>
              <w:rPr>
                <w:b/>
                <w:sz w:val="18"/>
              </w:rPr>
              <w:t>B13</w:t>
            </w:r>
          </w:p>
        </w:tc>
        <w:tc>
          <w:tcPr>
            <w:tcW w:type="dxa" w:w="1440"/>
          </w:tcPr>
          <w:p>
            <w:pPr>
              <w:spacing w:after="40"/>
            </w:pPr>
            <w:r>
              <w:rPr>
                <w:b/>
                <w:sz w:val="18"/>
              </w:rPr>
              <w:t>B14</w:t>
            </w:r>
          </w:p>
        </w:tc>
        <w:tc>
          <w:tcPr>
            <w:tcW w:type="dxa" w:w="1440"/>
          </w:tcPr>
          <w:p>
            <w:pPr>
              <w:spacing w:after="40"/>
            </w:pPr>
            <w:r>
              <w:rPr>
                <w:b/>
                <w:sz w:val="18"/>
              </w:rPr>
              <w:t>B17</w:t>
            </w:r>
          </w:p>
        </w:tc>
        <w:tc>
          <w:tcPr>
            <w:tcW w:type="dxa" w:w="1440"/>
          </w:tcPr>
          <w:p>
            <w:pPr>
              <w:spacing w:after="40"/>
            </w:pPr>
            <w:r>
              <w:rPr>
                <w:b/>
                <w:sz w:val="18"/>
              </w:rPr>
              <w:t>B18</w:t>
            </w:r>
          </w:p>
        </w:tc>
      </w:tr>
      <w:tr>
        <w:tc>
          <w:tcPr>
            <w:tcW w:type="dxa" w:w="1440"/>
          </w:tcPr>
          <w:p>
            <w:pPr>
              <w:spacing w:after="40"/>
            </w:pPr>
            <w:r>
              <w:rPr>
                <w:sz w:val="18"/>
              </w:rPr>
              <w:t>Hold-out 4 (memory poisoning) (86/157)</w:t>
            </w:r>
          </w:p>
        </w:tc>
        <w:tc>
          <w:tcPr>
            <w:tcW w:type="dxa" w:w="1440"/>
          </w:tcPr>
          <w:p>
            <w:pPr>
              <w:spacing w:after="40"/>
            </w:pPr>
            <w:r>
              <w:rPr>
                <w:sz w:val="18"/>
              </w:rPr>
              <w:t>2% -&gt; 2%</w:t>
            </w:r>
          </w:p>
        </w:tc>
        <w:tc>
          <w:tcPr>
            <w:tcW w:type="dxa" w:w="1440"/>
          </w:tcPr>
          <w:p>
            <w:pPr>
              <w:spacing w:after="40"/>
            </w:pPr>
            <w:r>
              <w:rPr>
                <w:sz w:val="18"/>
              </w:rPr>
              <w:t>50% -&gt; 60%</w:t>
            </w:r>
          </w:p>
        </w:tc>
        <w:tc>
          <w:tcPr>
            <w:tcW w:type="dxa" w:w="1440"/>
          </w:tcPr>
          <w:p>
            <w:pPr>
              <w:spacing w:after="40"/>
            </w:pPr>
            <w:r>
              <w:rPr>
                <w:sz w:val="18"/>
              </w:rPr>
              <w:t>20% -&gt; 31%</w:t>
            </w:r>
          </w:p>
        </w:tc>
        <w:tc>
          <w:tcPr>
            <w:tcW w:type="dxa" w:w="1440"/>
          </w:tcPr>
          <w:p>
            <w:pPr>
              <w:spacing w:after="40"/>
            </w:pPr>
            <w:r>
              <w:rPr>
                <w:sz w:val="18"/>
              </w:rPr>
              <w:t>50% -&gt; 60%</w:t>
            </w:r>
          </w:p>
        </w:tc>
        <w:tc>
          <w:tcPr>
            <w:tcW w:type="dxa" w:w="1440"/>
          </w:tcPr>
          <w:p>
            <w:pPr>
              <w:spacing w:after="40"/>
            </w:pPr>
            <w:r>
              <w:rPr>
                <w:sz w:val="18"/>
              </w:rPr>
              <w:t>50% -&gt; 60%</w:t>
            </w:r>
          </w:p>
        </w:tc>
      </w:tr>
      <w:tr>
        <w:tc>
          <w:tcPr>
            <w:tcW w:type="dxa" w:w="1440"/>
          </w:tcPr>
          <w:p>
            <w:pPr>
              <w:spacing w:after="40"/>
            </w:pPr>
            <w:r>
              <w:rPr>
                <w:sz w:val="18"/>
              </w:rPr>
              <w:t>Hold-out 5 (injection) (47/131)</w:t>
            </w:r>
          </w:p>
        </w:tc>
        <w:tc>
          <w:tcPr>
            <w:tcW w:type="dxa" w:w="1440"/>
          </w:tcPr>
          <w:p>
            <w:pPr>
              <w:spacing w:after="40"/>
            </w:pPr>
            <w:r>
              <w:rPr>
                <w:sz w:val="18"/>
              </w:rPr>
              <w:t>51% -&gt; 60%</w:t>
            </w:r>
          </w:p>
        </w:tc>
        <w:tc>
          <w:tcPr>
            <w:tcW w:type="dxa" w:w="1440"/>
          </w:tcPr>
          <w:p>
            <w:pPr>
              <w:spacing w:after="40"/>
            </w:pPr>
            <w:r>
              <w:rPr>
                <w:sz w:val="18"/>
              </w:rPr>
              <w:t>55% -&gt; 64%</w:t>
            </w:r>
          </w:p>
        </w:tc>
        <w:tc>
          <w:tcPr>
            <w:tcW w:type="dxa" w:w="1440"/>
          </w:tcPr>
          <w:p>
            <w:pPr>
              <w:spacing w:after="40"/>
            </w:pPr>
            <w:r>
              <w:rPr>
                <w:sz w:val="18"/>
              </w:rPr>
              <w:t>90% -&gt; 89%</w:t>
            </w:r>
          </w:p>
        </w:tc>
        <w:tc>
          <w:tcPr>
            <w:tcW w:type="dxa" w:w="1440"/>
          </w:tcPr>
          <w:p>
            <w:pPr>
              <w:spacing w:after="40"/>
            </w:pPr>
            <w:r>
              <w:rPr>
                <w:sz w:val="18"/>
              </w:rPr>
              <w:t>90% -&gt; 89%</w:t>
            </w:r>
          </w:p>
        </w:tc>
        <w:tc>
          <w:tcPr>
            <w:tcW w:type="dxa" w:w="1440"/>
          </w:tcPr>
          <w:p>
            <w:pPr>
              <w:spacing w:after="40"/>
            </w:pPr>
            <w:r>
              <w:rPr>
                <w:sz w:val="18"/>
              </w:rPr>
              <w:t>90% -&gt; 89%</w:t>
            </w:r>
          </w:p>
        </w:tc>
      </w:tr>
      <w:tr>
        <w:tc>
          <w:tcPr>
            <w:tcW w:type="dxa" w:w="1440"/>
          </w:tcPr>
          <w:p>
            <w:pPr>
              <w:spacing w:after="40"/>
            </w:pPr>
            <w:r>
              <w:rPr>
                <w:sz w:val="18"/>
              </w:rPr>
              <w:t>Hold-out 6 (injection) (294/500)</w:t>
            </w:r>
          </w:p>
        </w:tc>
        <w:tc>
          <w:tcPr>
            <w:tcW w:type="dxa" w:w="1440"/>
          </w:tcPr>
          <w:p>
            <w:pPr>
              <w:spacing w:after="40"/>
            </w:pPr>
            <w:r>
              <w:rPr>
                <w:sz w:val="18"/>
              </w:rPr>
              <w:t>34% -&gt; 24%</w:t>
            </w:r>
          </w:p>
        </w:tc>
        <w:tc>
          <w:tcPr>
            <w:tcW w:type="dxa" w:w="1440"/>
          </w:tcPr>
          <w:p>
            <w:pPr>
              <w:spacing w:after="40"/>
            </w:pPr>
            <w:r>
              <w:rPr>
                <w:sz w:val="18"/>
              </w:rPr>
              <w:t>37% -&gt; 29%</w:t>
            </w:r>
          </w:p>
        </w:tc>
        <w:tc>
          <w:tcPr>
            <w:tcW w:type="dxa" w:w="1440"/>
          </w:tcPr>
          <w:p>
            <w:pPr>
              <w:spacing w:after="40"/>
            </w:pPr>
            <w:r>
              <w:rPr>
                <w:sz w:val="18"/>
              </w:rPr>
              <w:t>77% -&gt; 68%</w:t>
            </w:r>
          </w:p>
        </w:tc>
        <w:tc>
          <w:tcPr>
            <w:tcW w:type="dxa" w:w="1440"/>
          </w:tcPr>
          <w:p>
            <w:pPr>
              <w:spacing w:after="40"/>
            </w:pPr>
            <w:r>
              <w:rPr>
                <w:sz w:val="18"/>
              </w:rPr>
              <w:t>78% -&gt; 68%</w:t>
            </w:r>
          </w:p>
        </w:tc>
        <w:tc>
          <w:tcPr>
            <w:tcW w:type="dxa" w:w="1440"/>
          </w:tcPr>
          <w:p>
            <w:pPr>
              <w:spacing w:after="40"/>
            </w:pPr>
            <w:r>
              <w:rPr>
                <w:sz w:val="18"/>
              </w:rPr>
              <w:t>99% -&gt; 99%</w:t>
            </w:r>
          </w:p>
        </w:tc>
      </w:tr>
    </w:tbl>
    <w:p>
      <w:pPr>
        <w:spacing w:after="200"/>
      </w:pPr>
      <w:r>
        <w:rPr>
          <w:i/>
          <w:sz w:val="18"/>
        </w:rPr>
        <w:t>Table 20. Recall on the full attack population -&gt; recall on the working subset (attacks that causally subvert the undefended agent), on every hold-out where the working subset is reportable. Sources: eval_round7_holdouts.json, eval_round7b_holdouts.json, holdout4_validity.json, holdout5_causal.json, holdout6_causal.json.</w:t>
      </w:r>
    </w:p>
    <w:p>
      <w:pPr>
        <w:spacing w:after="120"/>
      </w:pPr>
      <w:r>
        <w:t>On hold-out 6 the attacks that actually work are HARDER to detect: B12, B13, B14, B17 each catch about 9 points fewer of the working subset than of the full population, so full-population recall overstates protection on this corpus. B18 is the exception only because its deberta rule excludes nearly everything injection-shaped, at 16.3% false positives. The direction is NOT general: on hold-outs 4 and 5 the working attacks are EASIER for B13 (about 10 points higher), so full-population recall can mislead in either direction -- which is the case for reporting both denominators, not a property of any one defense.</w:t>
      </w:r>
    </w:p>
    <w:p>
      <w:pPr>
        <w:pStyle w:val="Heading2"/>
      </w:pPr>
      <w:r>
        <w:t>13C. Round 7 in Brief</w:t>
      </w:r>
    </w:p>
    <w:p>
      <w:pPr>
        <w:spacing w:after="120"/>
      </w:pPr>
      <w:r>
        <w:t>Round 7 tested this project's own claims against data built to break them. Of 47 pre-registered predictions 39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spacing w:after="120"/>
      </w:pPr>
      <w:r>
        <w:t>Measured after that paragraph was first written: both memory-poisoning hold-outs, written by different author families about different owners, show provenance reaching what content classification misses; provenance's corroboration is brittle to an adaptive attacker on its own but not behind the rejection ledger.</w:t>
      </w:r>
    </w:p>
    <w:p>
      <w:pPr>
        <w:pStyle w:val="Heading1"/>
      </w:pPr>
      <w:r>
        <w:t>14. Standard of Evidence and Limitations</w:t>
      </w:r>
    </w:p>
    <w:p>
      <w:pPr>
        <w:spacing w:after="120"/>
      </w:pPr>
      <w:r>
        <w:t>This document holds every claim to a fixed standard: each rate is reported on both denominators with its false-positive cost; frozen hold-outs are scored once under predictions committed beforehand; differences below the measured noise floor are not claimed; and the family of significance predictions is multiplicity-corrected. The whole-project test suite and a mutation registry (which verifies that each past error would still be caught) are run before every build, and this document is generated from the artifacts so it cannot drift from them.</w:t>
      </w:r>
    </w:p>
    <w:p>
      <w:pPr>
        <w:spacing w:after="120"/>
      </w:pPr>
      <w:r>
        <w:t>The limitations are stated where the numbers appear, not hidden: the harm LEVELS rest on an LLM judge that two annotators (the author and the author's friend) found to under-count harm (Section 13A), so undefended harm is reported beside a human-validated judge that finds it roughly twice as high; the human check rests on 100 items; several results hold at their pre-registered alpha but not after the family-wide correction (Table 17); the learned graph models stay at parity, not improvement, at this data scale; and the propagation and sleeper guards are exercised in constructed settings rather than the single-poison live pilot. AgentPoison is weaker than its published form and four of MPBench's attack classes need a tool-using victim this architecture does not have -- both reported as future work.</w:t>
      </w:r>
    </w:p>
    <w:p>
      <w:pPr>
        <w:pStyle w:val="Heading1"/>
      </w:pPr>
      <w:r>
        <w:t>15. Remediation After the Independent Review (2026-10-12)</w:t>
      </w:r>
    </w:p>
    <w:p>
      <w:pPr>
        <w:spacing w:after="120"/>
      </w:pPr>
      <w:r>
        <w:t>An independent pre-submission review (docs/review/INDEPENDENT_IEEE_REVIEW_2026-10-12.md) found under-disclosed assumptions, a hold-out-calibrated threshold, and internal inconsistencies. Every item has a status in REMEDIATION_MASTER_REGISTER.md. This section reports the analyses and the two pre-registered experiments it triggered (docs/phase17/PREREGISTRATION_REMEDIATION_2026-10-12.md, committed before either ran). Nothing earlier in this document was silently changed: corrected statements are marked where they appear.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w:t>
            </w:r>
          </w:p>
        </w:tc>
        <w:tc>
          <w:tcPr>
            <w:tcW w:type="dxa" w:w="1440"/>
          </w:tcPr>
          <w:p>
            <w:pPr>
              <w:spacing w:after="40"/>
            </w:pPr>
            <w:r>
              <w:rPr>
                <w:b/>
                <w:sz w:val="18"/>
              </w:rPr>
              <w:t>B12 (stored)</w:t>
            </w:r>
          </w:p>
        </w:tc>
        <w:tc>
          <w:tcPr>
            <w:tcW w:type="dxa" w:w="1440"/>
          </w:tcPr>
          <w:p>
            <w:pPr>
              <w:spacing w:after="40"/>
            </w:pPr>
            <w:r>
              <w:rPr>
                <w:b/>
                <w:sz w:val="18"/>
              </w:rPr>
              <w:t>B13 minus corroboration</w:t>
            </w:r>
          </w:p>
        </w:tc>
        <w:tc>
          <w:tcPr>
            <w:tcW w:type="dxa" w:w="1440"/>
          </w:tcPr>
          <w:p>
            <w:pPr>
              <w:spacing w:after="40"/>
            </w:pPr>
            <w:r>
              <w:rPr>
                <w:b/>
                <w:sz w:val="18"/>
              </w:rPr>
              <w:t>Corroboration alone</w:t>
            </w:r>
          </w:p>
        </w:tc>
        <w:tc>
          <w:tcPr>
            <w:tcW w:type="dxa" w:w="1440"/>
          </w:tcPr>
          <w:p>
            <w:pPr>
              <w:spacing w:after="40"/>
            </w:pPr>
            <w:r>
              <w:rPr>
                <w:b/>
                <w:sz w:val="18"/>
              </w:rPr>
              <w:t>B13</w:t>
            </w:r>
          </w:p>
        </w:tc>
        <w:tc>
          <w:tcPr>
            <w:tcW w:type="dxa" w:w="1440"/>
          </w:tcPr>
          <w:p>
            <w:pPr>
              <w:spacing w:after="40"/>
            </w:pPr>
            <w:r>
              <w:rPr>
                <w:b/>
                <w:sz w:val="18"/>
              </w:rPr>
              <w:t>Attacks on user channel</w:t>
            </w:r>
          </w:p>
        </w:tc>
      </w:tr>
      <w:tr>
        <w:tc>
          <w:tcPr>
            <w:tcW w:type="dxa" w:w="1440"/>
          </w:tcPr>
          <w:p>
            <w:pPr>
              <w:spacing w:after="40"/>
            </w:pPr>
            <w:r>
              <w:rPr>
                <w:sz w:val="18"/>
              </w:rPr>
              <w:t>holdout4</w:t>
            </w:r>
          </w:p>
        </w:tc>
        <w:tc>
          <w:tcPr>
            <w:tcW w:type="dxa" w:w="1440"/>
          </w:tcPr>
          <w:p>
            <w:pPr>
              <w:spacing w:after="40"/>
            </w:pPr>
            <w:r>
              <w:rPr>
                <w:sz w:val="18"/>
              </w:rPr>
              <w:t>3/157 | FP 4/262</w:t>
            </w:r>
          </w:p>
        </w:tc>
        <w:tc>
          <w:tcPr>
            <w:tcW w:type="dxa" w:w="1440"/>
          </w:tcPr>
          <w:p>
            <w:pPr>
              <w:spacing w:after="40"/>
            </w:pPr>
            <w:r>
              <w:rPr>
                <w:sz w:val="18"/>
              </w:rPr>
              <w:t>3/157 | FP 4/262</w:t>
            </w:r>
          </w:p>
        </w:tc>
        <w:tc>
          <w:tcPr>
            <w:tcW w:type="dxa" w:w="1440"/>
          </w:tcPr>
          <w:p>
            <w:pPr>
              <w:spacing w:after="40"/>
            </w:pPr>
            <w:r>
              <w:rPr>
                <w:sz w:val="18"/>
              </w:rPr>
              <w:t>76/157 | FP 28/262</w:t>
            </w:r>
          </w:p>
        </w:tc>
        <w:tc>
          <w:tcPr>
            <w:tcW w:type="dxa" w:w="1440"/>
          </w:tcPr>
          <w:p>
            <w:pPr>
              <w:spacing w:after="40"/>
            </w:pPr>
            <w:r>
              <w:rPr>
                <w:sz w:val="18"/>
              </w:rPr>
              <w:t>79/157 | FP 31/262</w:t>
            </w:r>
          </w:p>
        </w:tc>
        <w:tc>
          <w:tcPr>
            <w:tcW w:type="dxa" w:w="1440"/>
          </w:tcPr>
          <w:p>
            <w:pPr>
              <w:spacing w:after="40"/>
            </w:pPr>
            <w:r>
              <w:rPr>
                <w:sz w:val="18"/>
              </w:rPr>
              <w:t>0 excluded; 3 flagged</w:t>
            </w:r>
          </w:p>
        </w:tc>
      </w:tr>
      <w:tr>
        <w:tc>
          <w:tcPr>
            <w:tcW w:type="dxa" w:w="1440"/>
          </w:tcPr>
          <w:p>
            <w:pPr>
              <w:spacing w:after="40"/>
            </w:pPr>
            <w:r>
              <w:rPr>
                <w:sz w:val="18"/>
              </w:rPr>
              <w:t>holdout8</w:t>
            </w:r>
          </w:p>
        </w:tc>
        <w:tc>
          <w:tcPr>
            <w:tcW w:type="dxa" w:w="1440"/>
          </w:tcPr>
          <w:p>
            <w:pPr>
              <w:spacing w:after="40"/>
            </w:pPr>
            <w:r>
              <w:rPr>
                <w:sz w:val="18"/>
              </w:rPr>
              <w:t>59/160 | FP 7/171</w:t>
            </w:r>
          </w:p>
        </w:tc>
        <w:tc>
          <w:tcPr>
            <w:tcW w:type="dxa" w:w="1440"/>
          </w:tcPr>
          <w:p>
            <w:pPr>
              <w:spacing w:after="40"/>
            </w:pPr>
            <w:r>
              <w:rPr>
                <w:sz w:val="18"/>
              </w:rPr>
              <w:t>59/160 | FP 7/171</w:t>
            </w:r>
          </w:p>
        </w:tc>
        <w:tc>
          <w:tcPr>
            <w:tcW w:type="dxa" w:w="1440"/>
          </w:tcPr>
          <w:p>
            <w:pPr>
              <w:spacing w:after="40"/>
            </w:pPr>
            <w:r>
              <w:rPr>
                <w:sz w:val="18"/>
              </w:rPr>
              <w:t>81/160 | FP 8/171</w:t>
            </w:r>
          </w:p>
        </w:tc>
        <w:tc>
          <w:tcPr>
            <w:tcW w:type="dxa" w:w="1440"/>
          </w:tcPr>
          <w:p>
            <w:pPr>
              <w:spacing w:after="40"/>
            </w:pPr>
            <w:r>
              <w:rPr>
                <w:sz w:val="18"/>
              </w:rPr>
              <w:t>118/160 | FP 15/171</w:t>
            </w:r>
          </w:p>
        </w:tc>
        <w:tc>
          <w:tcPr>
            <w:tcW w:type="dxa" w:w="1440"/>
          </w:tcPr>
          <w:p>
            <w:pPr>
              <w:spacing w:after="40"/>
            </w:pPr>
            <w:r>
              <w:rPr>
                <w:sz w:val="18"/>
              </w:rPr>
              <w:t>0 excluded; 59 flagged</w:t>
            </w:r>
          </w:p>
        </w:tc>
      </w:tr>
      <w:tr>
        <w:tc>
          <w:tcPr>
            <w:tcW w:type="dxa" w:w="1440"/>
          </w:tcPr>
          <w:p>
            <w:pPr>
              <w:spacing w:after="40"/>
            </w:pPr>
            <w:r>
              <w:rPr>
                <w:sz w:val="18"/>
              </w:rPr>
              <w:t>holdout7</w:t>
            </w:r>
          </w:p>
        </w:tc>
        <w:tc>
          <w:tcPr>
            <w:tcW w:type="dxa" w:w="1440"/>
          </w:tcPr>
          <w:p>
            <w:pPr>
              <w:spacing w:after="40"/>
            </w:pPr>
            <w:r>
              <w:rPr>
                <w:sz w:val="18"/>
              </w:rPr>
              <w:t>48/129 | FP 8/189</w:t>
            </w:r>
          </w:p>
        </w:tc>
        <w:tc>
          <w:tcPr>
            <w:tcW w:type="dxa" w:w="1440"/>
          </w:tcPr>
          <w:p>
            <w:pPr>
              <w:spacing w:after="40"/>
            </w:pPr>
            <w:r>
              <w:rPr>
                <w:sz w:val="18"/>
              </w:rPr>
              <w:t>48/129 | FP 8/189</w:t>
            </w:r>
          </w:p>
        </w:tc>
        <w:tc>
          <w:tcPr>
            <w:tcW w:type="dxa" w:w="1440"/>
          </w:tcPr>
          <w:p>
            <w:pPr>
              <w:spacing w:after="40"/>
            </w:pPr>
            <w:r>
              <w:rPr>
                <w:sz w:val="18"/>
              </w:rPr>
              <w:t>23/129 | FP 23/189</w:t>
            </w:r>
          </w:p>
        </w:tc>
        <w:tc>
          <w:tcPr>
            <w:tcW w:type="dxa" w:w="1440"/>
          </w:tcPr>
          <w:p>
            <w:pPr>
              <w:spacing w:after="40"/>
            </w:pPr>
            <w:r>
              <w:rPr>
                <w:sz w:val="18"/>
              </w:rPr>
              <w:t>70/129 | FP 29/189</w:t>
            </w:r>
          </w:p>
        </w:tc>
        <w:tc>
          <w:tcPr>
            <w:tcW w:type="dxa" w:w="1440"/>
          </w:tcPr>
          <w:p>
            <w:pPr>
              <w:spacing w:after="40"/>
            </w:pPr>
            <w:r>
              <w:rPr>
                <w:sz w:val="18"/>
              </w:rPr>
              <w:t>0 excluded; 48 flagged</w:t>
            </w:r>
          </w:p>
        </w:tc>
      </w:tr>
    </w:tbl>
    <w:p>
      <w:pPr>
        <w:spacing w:after="200"/>
      </w:pPr>
      <w:r>
        <w:rPr>
          <w:i/>
          <w:sz w:val="18"/>
        </w:rPr>
        <w:t>Table 23. What B13's hold-out result depends on (post-hoc decomposition of the stored per-item decisions, reproduced item for item). Source: remediation/b13_decomposition.json.</w:t>
      </w:r>
    </w:p>
    <w:p>
      <w:pPr>
        <w:spacing w:after="120"/>
      </w:pPr>
      <w:r>
        <w:t>On every memory-poisoning hold-out, B13 without corroboration excludes exactly what content-only B12 excludes: the channel label adds no recall of its own. All of B13's gain comes from corroborating personal claims against the owner's conversation, at the benign cost shown. The channel label's role is to exempt the user's own words -- so a poison that reaches the store through the user channel (MINJA's query-only threat model, or any mislabelled source) is never excluded, by construction. Every attack in every evaluation here was assigned the untrusted tool-output channel by the evaluator; B13's results hold under that assumption only.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Threshold / clusters fitted on</w:t>
            </w:r>
          </w:p>
        </w:tc>
        <w:tc>
          <w:tcPr>
            <w:tcW w:type="dxa" w:w="1728"/>
          </w:tcPr>
          <w:p>
            <w:pPr>
              <w:spacing w:after="40"/>
            </w:pPr>
            <w:r>
              <w:rPr>
                <w:b/>
                <w:sz w:val="18"/>
              </w:rPr>
              <w:t>Anomaly recall</w:t>
            </w:r>
          </w:p>
        </w:tc>
        <w:tc>
          <w:tcPr>
            <w:tcW w:type="dxa" w:w="1728"/>
          </w:tcPr>
          <w:p>
            <w:pPr>
              <w:spacing w:after="40"/>
            </w:pPr>
            <w:r>
              <w:rPr>
                <w:b/>
                <w:sz w:val="18"/>
              </w:rPr>
              <w:t>Anomaly benign FP</w:t>
            </w:r>
          </w:p>
        </w:tc>
        <w:tc>
          <w:tcPr>
            <w:tcW w:type="dxa" w:w="1728"/>
          </w:tcPr>
          <w:p>
            <w:pPr>
              <w:spacing w:after="40"/>
            </w:pPr>
            <w:r>
              <w:rPr>
                <w:b/>
                <w:sz w:val="18"/>
              </w:rPr>
              <w:t>Union (B13 OR anomaly)</w:t>
            </w:r>
          </w:p>
        </w:tc>
        <w:tc>
          <w:tcPr>
            <w:tcW w:type="dxa" w:w="1728"/>
          </w:tcPr>
          <w:p>
            <w:pPr>
              <w:spacing w:after="40"/>
            </w:pPr>
            <w:r>
              <w:rPr>
                <w:b/>
                <w:sz w:val="18"/>
              </w:rPr>
              <w:t>Union benign FP</w:t>
            </w:r>
          </w:p>
        </w:tc>
      </w:tr>
      <w:tr>
        <w:tc>
          <w:tcPr>
            <w:tcW w:type="dxa" w:w="1728"/>
          </w:tcPr>
          <w:p>
            <w:pPr>
              <w:spacing w:after="40"/>
            </w:pPr>
            <w:r>
              <w:rPr>
                <w:sz w:val="18"/>
              </w:rPr>
              <w:t>HO8 benign, FPR read on the same half (as published) (p90)</w:t>
            </w:r>
          </w:p>
        </w:tc>
        <w:tc>
          <w:tcPr>
            <w:tcW w:type="dxa" w:w="1728"/>
          </w:tcPr>
          <w:p>
            <w:pPr>
              <w:spacing w:after="40"/>
            </w:pPr>
            <w:r>
              <w:rPr>
                <w:sz w:val="18"/>
              </w:rPr>
              <w:t>145/160</w:t>
            </w:r>
          </w:p>
        </w:tc>
        <w:tc>
          <w:tcPr>
            <w:tcW w:type="dxa" w:w="1728"/>
          </w:tcPr>
          <w:p>
            <w:pPr>
              <w:spacing w:after="40"/>
            </w:pPr>
            <w:r>
              <w:rPr>
                <w:sz w:val="18"/>
              </w:rPr>
              <w:t>9/85</w:t>
            </w:r>
          </w:p>
        </w:tc>
        <w:tc>
          <w:tcPr>
            <w:tcW w:type="dxa" w:w="1728"/>
          </w:tcPr>
          <w:p>
            <w:pPr>
              <w:spacing w:after="40"/>
            </w:pPr>
            <w:r>
              <w:rPr>
                <w:sz w:val="18"/>
              </w:rPr>
              <w:t>154/160</w:t>
            </w:r>
          </w:p>
        </w:tc>
        <w:tc>
          <w:tcPr>
            <w:tcW w:type="dxa" w:w="1728"/>
          </w:tcPr>
          <w:p>
            <w:pPr>
              <w:spacing w:after="40"/>
            </w:pPr>
            <w:r>
              <w:rPr>
                <w:sz w:val="18"/>
              </w:rPr>
              <w:t>16/85</w:t>
            </w:r>
          </w:p>
        </w:tc>
      </w:tr>
      <w:tr>
        <w:tc>
          <w:tcPr>
            <w:tcW w:type="dxa" w:w="1728"/>
          </w:tcPr>
          <w:p>
            <w:pPr>
              <w:spacing w:after="40"/>
            </w:pPr>
            <w:r>
              <w:rPr>
                <w:sz w:val="18"/>
              </w:rPr>
              <w:t>HO8 benign, FPR read on the same half (as published) (p99)</w:t>
            </w:r>
          </w:p>
        </w:tc>
        <w:tc>
          <w:tcPr>
            <w:tcW w:type="dxa" w:w="1728"/>
          </w:tcPr>
          <w:p>
            <w:pPr>
              <w:spacing w:after="40"/>
            </w:pPr>
            <w:r>
              <w:rPr>
                <w:sz w:val="18"/>
              </w:rPr>
              <w:t>59/160</w:t>
            </w:r>
          </w:p>
        </w:tc>
        <w:tc>
          <w:tcPr>
            <w:tcW w:type="dxa" w:w="1728"/>
          </w:tcPr>
          <w:p>
            <w:pPr>
              <w:spacing w:after="40"/>
            </w:pPr>
            <w:r>
              <w:rPr>
                <w:sz w:val="18"/>
              </w:rPr>
              <w:t>1/85</w:t>
            </w:r>
          </w:p>
        </w:tc>
        <w:tc>
          <w:tcPr>
            <w:tcW w:type="dxa" w:w="1728"/>
          </w:tcPr>
          <w:p>
            <w:pPr>
              <w:spacing w:after="40"/>
            </w:pPr>
            <w:r>
              <w:rPr>
                <w:sz w:val="18"/>
              </w:rPr>
              <w:t>141/160</w:t>
            </w:r>
          </w:p>
        </w:tc>
        <w:tc>
          <w:tcPr>
            <w:tcW w:type="dxa" w:w="1728"/>
          </w:tcPr>
          <w:p>
            <w:pPr>
              <w:spacing w:after="40"/>
            </w:pPr>
            <w:r>
              <w:rPr>
                <w:sz w:val="18"/>
              </w:rPr>
              <w:t>8/85</w:t>
            </w:r>
          </w:p>
        </w:tc>
      </w:tr>
      <w:tr>
        <w:tc>
          <w:tcPr>
            <w:tcW w:type="dxa" w:w="1728"/>
          </w:tcPr>
          <w:p>
            <w:pPr>
              <w:spacing w:after="40"/>
            </w:pPr>
            <w:r>
              <w:rPr>
                <w:sz w:val="18"/>
              </w:rPr>
              <w:t>HO8 benign half A; FPR on unseen half B (p90)</w:t>
            </w:r>
          </w:p>
        </w:tc>
        <w:tc>
          <w:tcPr>
            <w:tcW w:type="dxa" w:w="1728"/>
          </w:tcPr>
          <w:p>
            <w:pPr>
              <w:spacing w:after="40"/>
            </w:pPr>
            <w:r>
              <w:rPr>
                <w:sz w:val="18"/>
              </w:rPr>
              <w:t>154/160</w:t>
            </w:r>
          </w:p>
        </w:tc>
        <w:tc>
          <w:tcPr>
            <w:tcW w:type="dxa" w:w="1728"/>
          </w:tcPr>
          <w:p>
            <w:pPr>
              <w:spacing w:after="40"/>
            </w:pPr>
            <w:r>
              <w:rPr>
                <w:sz w:val="18"/>
              </w:rPr>
              <w:t>12/85</w:t>
            </w:r>
          </w:p>
        </w:tc>
        <w:tc>
          <w:tcPr>
            <w:tcW w:type="dxa" w:w="1728"/>
          </w:tcPr>
          <w:p>
            <w:pPr>
              <w:spacing w:after="40"/>
            </w:pPr>
            <w:r>
              <w:rPr>
                <w:sz w:val="18"/>
              </w:rPr>
              <w:t>158/160</w:t>
            </w:r>
          </w:p>
        </w:tc>
        <w:tc>
          <w:tcPr>
            <w:tcW w:type="dxa" w:w="1728"/>
          </w:tcPr>
          <w:p>
            <w:pPr>
              <w:spacing w:after="40"/>
            </w:pPr>
            <w:r>
              <w:rPr>
                <w:sz w:val="18"/>
              </w:rPr>
              <w:t>17/85</w:t>
            </w:r>
          </w:p>
        </w:tc>
      </w:tr>
      <w:tr>
        <w:tc>
          <w:tcPr>
            <w:tcW w:type="dxa" w:w="1728"/>
          </w:tcPr>
          <w:p>
            <w:pPr>
              <w:spacing w:after="40"/>
            </w:pPr>
            <w:r>
              <w:rPr>
                <w:sz w:val="18"/>
              </w:rPr>
              <w:t>HO8 benign half A; FPR on unseen half B (p99)</w:t>
            </w:r>
          </w:p>
        </w:tc>
        <w:tc>
          <w:tcPr>
            <w:tcW w:type="dxa" w:w="1728"/>
          </w:tcPr>
          <w:p>
            <w:pPr>
              <w:spacing w:after="40"/>
            </w:pPr>
            <w:r>
              <w:rPr>
                <w:sz w:val="18"/>
              </w:rPr>
              <w:t>131/160</w:t>
            </w:r>
          </w:p>
        </w:tc>
        <w:tc>
          <w:tcPr>
            <w:tcW w:type="dxa" w:w="1728"/>
          </w:tcPr>
          <w:p>
            <w:pPr>
              <w:spacing w:after="40"/>
            </w:pPr>
            <w:r>
              <w:rPr>
                <w:sz w:val="18"/>
              </w:rPr>
              <w:t>4/85</w:t>
            </w:r>
          </w:p>
        </w:tc>
        <w:tc>
          <w:tcPr>
            <w:tcW w:type="dxa" w:w="1728"/>
          </w:tcPr>
          <w:p>
            <w:pPr>
              <w:spacing w:after="40"/>
            </w:pPr>
            <w:r>
              <w:rPr>
                <w:sz w:val="18"/>
              </w:rPr>
              <w:t>153/160</w:t>
            </w:r>
          </w:p>
        </w:tc>
        <w:tc>
          <w:tcPr>
            <w:tcW w:type="dxa" w:w="1728"/>
          </w:tcPr>
          <w:p>
            <w:pPr>
              <w:spacing w:after="40"/>
            </w:pPr>
            <w:r>
              <w:rPr>
                <w:sz w:val="18"/>
              </w:rPr>
              <w:t>11/85</w:t>
            </w:r>
          </w:p>
        </w:tc>
      </w:tr>
      <w:tr>
        <w:tc>
          <w:tcPr>
            <w:tcW w:type="dxa" w:w="1728"/>
          </w:tcPr>
          <w:p>
            <w:pPr>
              <w:spacing w:after="40"/>
            </w:pPr>
            <w:r>
              <w:rPr>
                <w:sz w:val="18"/>
              </w:rPr>
              <w:t>development benign only (p90)</w:t>
            </w:r>
          </w:p>
        </w:tc>
        <w:tc>
          <w:tcPr>
            <w:tcW w:type="dxa" w:w="1728"/>
          </w:tcPr>
          <w:p>
            <w:pPr>
              <w:spacing w:after="40"/>
            </w:pPr>
            <w:r>
              <w:rPr>
                <w:sz w:val="18"/>
              </w:rPr>
              <w:t>158/160</w:t>
            </w:r>
          </w:p>
        </w:tc>
        <w:tc>
          <w:tcPr>
            <w:tcW w:type="dxa" w:w="1728"/>
          </w:tcPr>
          <w:p>
            <w:pPr>
              <w:spacing w:after="40"/>
            </w:pPr>
            <w:r>
              <w:rPr>
                <w:sz w:val="18"/>
              </w:rPr>
              <w:t>142/171</w:t>
            </w:r>
          </w:p>
        </w:tc>
        <w:tc>
          <w:tcPr>
            <w:tcW w:type="dxa" w:w="1728"/>
          </w:tcPr>
          <w:p>
            <w:pPr>
              <w:spacing w:after="40"/>
            </w:pPr>
            <w:r>
              <w:rPr>
                <w:sz w:val="18"/>
              </w:rPr>
              <w:t>160/160</w:t>
            </w:r>
          </w:p>
        </w:tc>
        <w:tc>
          <w:tcPr>
            <w:tcW w:type="dxa" w:w="1728"/>
          </w:tcPr>
          <w:p>
            <w:pPr>
              <w:spacing w:after="40"/>
            </w:pPr>
            <w:r>
              <w:rPr>
                <w:sz w:val="18"/>
              </w:rPr>
              <w:t>145/171</w:t>
            </w:r>
          </w:p>
        </w:tc>
      </w:tr>
      <w:tr>
        <w:tc>
          <w:tcPr>
            <w:tcW w:type="dxa" w:w="1728"/>
          </w:tcPr>
          <w:p>
            <w:pPr>
              <w:spacing w:after="40"/>
            </w:pPr>
            <w:r>
              <w:rPr>
                <w:sz w:val="18"/>
              </w:rPr>
              <w:t>development benign only (p99)</w:t>
            </w:r>
          </w:p>
        </w:tc>
        <w:tc>
          <w:tcPr>
            <w:tcW w:type="dxa" w:w="1728"/>
          </w:tcPr>
          <w:p>
            <w:pPr>
              <w:spacing w:after="40"/>
            </w:pPr>
            <w:r>
              <w:rPr>
                <w:sz w:val="18"/>
              </w:rPr>
              <w:t>138/160</w:t>
            </w:r>
          </w:p>
        </w:tc>
        <w:tc>
          <w:tcPr>
            <w:tcW w:type="dxa" w:w="1728"/>
          </w:tcPr>
          <w:p>
            <w:pPr>
              <w:spacing w:after="40"/>
            </w:pPr>
            <w:r>
              <w:rPr>
                <w:sz w:val="18"/>
              </w:rPr>
              <w:t>99/171</w:t>
            </w:r>
          </w:p>
        </w:tc>
        <w:tc>
          <w:tcPr>
            <w:tcW w:type="dxa" w:w="1728"/>
          </w:tcPr>
          <w:p>
            <w:pPr>
              <w:spacing w:after="40"/>
            </w:pPr>
            <w:r>
              <w:rPr>
                <w:sz w:val="18"/>
              </w:rPr>
              <w:t>160/160</w:t>
            </w:r>
          </w:p>
        </w:tc>
        <w:tc>
          <w:tcPr>
            <w:tcW w:type="dxa" w:w="1728"/>
          </w:tcPr>
          <w:p>
            <w:pPr>
              <w:spacing w:after="40"/>
            </w:pPr>
            <w:r>
              <w:rPr>
                <w:sz w:val="18"/>
              </w:rPr>
              <w:t>104/171</w:t>
            </w:r>
          </w:p>
        </w:tc>
      </w:tr>
      <w:tr>
        <w:tc>
          <w:tcPr>
            <w:tcW w:type="dxa" w:w="1728"/>
          </w:tcPr>
          <w:p>
            <w:pPr>
              <w:spacing w:after="40"/>
            </w:pPr>
            <w:r>
              <w:rPr>
                <w:sz w:val="18"/>
              </w:rPr>
              <w:t>committed dev-fitted centroids (shipped signal) (p90)</w:t>
            </w:r>
          </w:p>
        </w:tc>
        <w:tc>
          <w:tcPr>
            <w:tcW w:type="dxa" w:w="1728"/>
          </w:tcPr>
          <w:p>
            <w:pPr>
              <w:spacing w:after="40"/>
            </w:pPr>
            <w:r>
              <w:rPr>
                <w:sz w:val="18"/>
              </w:rPr>
              <w:t>159/160</w:t>
            </w:r>
          </w:p>
        </w:tc>
        <w:tc>
          <w:tcPr>
            <w:tcW w:type="dxa" w:w="1728"/>
          </w:tcPr>
          <w:p>
            <w:pPr>
              <w:spacing w:after="40"/>
            </w:pPr>
            <w:r>
              <w:rPr>
                <w:sz w:val="18"/>
              </w:rPr>
              <w:t>137/171</w:t>
            </w:r>
          </w:p>
        </w:tc>
        <w:tc>
          <w:tcPr>
            <w:tcW w:type="dxa" w:w="1728"/>
          </w:tcPr>
          <w:p>
            <w:pPr>
              <w:spacing w:after="40"/>
            </w:pPr>
            <w:r>
              <w:rPr>
                <w:sz w:val="18"/>
              </w:rPr>
              <w:t>160/160</w:t>
            </w:r>
          </w:p>
        </w:tc>
        <w:tc>
          <w:tcPr>
            <w:tcW w:type="dxa" w:w="1728"/>
          </w:tcPr>
          <w:p>
            <w:pPr>
              <w:spacing w:after="40"/>
            </w:pPr>
            <w:r>
              <w:rPr>
                <w:sz w:val="18"/>
              </w:rPr>
              <w:t>140/171</w:t>
            </w:r>
          </w:p>
        </w:tc>
      </w:tr>
    </w:tbl>
    <w:p>
      <w:pPr>
        <w:spacing w:after="200"/>
      </w:pPr>
      <w:r>
        <w:rPr>
          <w:i/>
          <w:sz w:val="18"/>
        </w:rPr>
        <w:t>Table 24. Hold-out 8's anomaly signal and union under thresholds that do and do not see the evaluation data. The first rows reproduce the published numbers exactly. Source: remediation/ho8_anomaly_devfit.json.</w:t>
      </w:r>
    </w:p>
    <w:p>
      <w:pPr>
        <w:spacing w:after="120"/>
      </w:pPr>
      <w:r>
        <w:t>Prediction tallies, reconciled. The three counts in circulation are snapshots of different scopes, all reproducible from git: 17/20 (commit 175263b8, hold-outs 4-5 plus Phase B before B-5 was scored), 34/41 (before addenda 6 and 8) and 39/47 (the current round-7 file). Adding hold-out 8's seven addendum-7 predictions, which no tally had included: 45/53 scored predictions held, with U-2 pre-registered but never scored. By kind: interval 10/11; directional 35/42.</w:t>
      </w:r>
    </w:p>
    <w:p>
      <w:pPr>
        <w:spacing w:after="120"/>
      </w:pPr>
      <w:r>
        <w:t>Judge sensitivity of the validity audit (fitted probe, mechanism-checked). Working rate under the original judge 25.3% vs the human-calibrated majority vote 27.1% (own populations 40.8% vs 44.3%; external 18.5% vs 19.6%). Population rates are therefore judge-robust, but 509 of 2628 instances change working status between the judges, and the fitted probe's task-alone base rate is 25.7% under the original judge and 47.4% under the vote -- above the 20% admissibility rule this project later adopted for hold-out probes, so per-population working rates are lower bounds where the task alone elicits compliance. Working status is a property of the agent, probe and judge, not of an attack in every setting. Source: remediation/validity_judge_sensitivity.json.</w:t>
      </w:r>
    </w:p>
    <w:p>
      <w:pPr>
        <w:spacing w:after="120"/>
      </w:pPr>
      <w:r>
        <w:t>SA-1 (sleeper activation, Gap 3), pre-registered predictions: SA-1 HELD (0/60); SA-2 HELD (+23/-0); SA-3 HELD (60/60 vs 3/60); SA-4 HELD (60 vs 2); SA-5 HELD (+0/-23); SA-6 HELD (0/60); SA-7 HELD (60/60); SA-8 HELD (+0/-18); SA-9 HELD (-6.7 points). Full tables in results/tables (T10, T11).</w:t>
      </w:r>
    </w:p>
    <w:p>
      <w:pPr>
        <w:spacing w:after="120"/>
      </w:pPr>
      <w:r>
        <w:t>P2 (two-generation propagation, Gap 2), pre-registered predictions: P2-1 HELD (98/249); P2-2 HELD (+24/-0); P2-3 HELD (0); P2-4 HELD (22/161); P2-5 FAILED (7/90). Full tables in results/tables (T10, T11).</w:t>
      </w:r>
    </w:p>
    <w:p>
      <w:pPr>
        <w:spacing w:after="120"/>
      </w:pPr>
      <w:r>
        <w:t>Reading SA-1. Conditional backdoors were dormant (activation 0/60 on unrelated messages) and activated through real retrieval on natural triggers (23/60 under the original judge). Content-only B12 excluded 60/60 of them and 2/60 benign conditional lookalikes before activation -- so prevention here rests on the explicit malicious payload these backdoors state, not on any sleeper signal: the dedicated sleeper guard flagged 0/60 and the development-fitted anomaly signal flagged every lookalike. Stealthy, instruction-free sleeper notes remain largely undetected (Table 5A). SA-1's owner, like hold-out 8's, was among B13's calibration conversations (pre-registration addendum A).</w:t>
      </w:r>
    </w:p>
    <w:p>
      <w:pPr>
        <w:spacing w:after="120"/>
      </w:pPr>
      <w:r>
        <w:t>Reading P2. The payload survived a second consolidation in 98/249 instances; the best containment arm withheld 24/71 carrying second-generation summaries (against most at generation 1), only by inheriting the intermediate summary's taint state, and withheld none without it. Development data only.</w:t>
      </w:r>
    </w:p>
    <w:p>
      <w:pPr>
        <w:pStyle w:val="Heading1"/>
      </w:pPr>
      <w:r>
        <w:t>16. Gap Closure (2026-10-13): Real Memory Pipeline, Causal Attribution, Implicit Sleepers</w:t>
      </w:r>
    </w:p>
    <w:p>
      <w:pPr>
        <w:spacing w:after="120"/>
      </w:pPr>
      <w:r>
        <w:t>A second remediation round closed the gaps left after Section 15 (FINAL_GAP_CLOSURE_REPORT.md). Five experiments were pre-registered before running (docs/phase17/PREREGISTRATION_GAPCLOSURE_2026-10-13.md, with addendum B for two API defects found and fixed before any outcome was analysed); three analyses on cached data are labelled as new.</w:t>
      </w:r>
    </w:p>
    <w:p>
      <w:pPr>
        <w:spacing w:after="120"/>
      </w:pPr>
      <w:r>
        <w:t>Causal attribution. The memory's net effect on compliance (with minus without, same task) is +43.2 points on this project's own attacks and +13.3 on external corpora under the original judge (+47.1 / +13.7 under the vote), although the probe alone elicits the behaviour in 25.7% of instances. Defence rankings are identical on five working-attack denominators.</w:t>
      </w:r>
    </w:p>
    <w:p>
      <w:pPr>
        <w:spacing w:after="120"/>
      </w:pPr>
      <w:r>
        <w:t>Blind model adjudication of judge disagreements split 60/60 between the judges (ADJ-1a FAILED): about one instance in five has no reliable working label.</w:t>
      </w:r>
    </w:p>
    <w:p>
      <w:pPr>
        <w:spacing w:after="120"/>
      </w:pPr>
      <w:r>
        <w:t>Probe robustness (PR-1): a non-leading probe lowers the task-alone rate from 38 to 5 of 150 but halves working attacks (73 to 36); instance agreement 54.0%. PR-1a HELD; PR-1b FAILED.</w:t>
      </w:r>
    </w:p>
    <w:p>
      <w:pPr>
        <w:spacing w:after="120"/>
      </w:pPr>
      <w:r>
        <w:t>Corroboration robustness (new analysis): with another owner's conversation as evidence corroboration stops discriminating on hold-outs 4 and 8. (The 'threefold' threshold difference first reported here compared two benign budgets, not two owner sets; it is withdrawn -- see Section 17.)</w:t>
      </w:r>
    </w:p>
    <w:p>
      <w:pPr>
        <w:spacing w:after="120"/>
      </w:pPr>
      <w:r>
        <w:t>SA-2 (implicit-intent conditional rules, clean owner): content-only B12 excluded 0/60 attacks; corroboration-based B13 excluded 40/60 attacks and 0/60 grounded benign rules; sleeper-specific detectors failed. S2-1 HELD; S2-2 HELD; S2-3 HELD; S2-4a HELD; S2-4b HELD; S2-5 HELD.</w:t>
      </w:r>
    </w:p>
    <w:p>
      <w:pPr>
        <w:spacing w:after="120"/>
      </w:pPr>
      <w:r>
        <w:t>Real pipeline (Mem0 2.0.19, infer=True). Hold-out 4: 157/157 attacks stored, 155 carried their claim, 48 retrieved, 29 changed the answer; B13 on the stored memories excluded 59. M1-1 HELD; M1-2 HELD; M1-3 HELD; M1-4 HELD; M1-5 FAILED; M1-6 HELD; M2-1 HELD; M2-2 HELD; M2-3 HELD; M2-4 HELD; M2-5 HELD. REAL_MEMORY_PIPELINE_EVALUATION.md.</w:t>
      </w:r>
    </w:p>
    <w:p>
      <w:pPr>
        <w:pStyle w:val="Heading1"/>
      </w:pPr>
      <w:r>
        <w:t>17. Targeted Phase (2026-10-13): Owner-Disjoint B13 and Attack Validity</w:t>
      </w:r>
    </w:p>
    <w:p>
      <w:pPr>
        <w:spacing w:after="120"/>
      </w:pPr>
      <w:r>
        <w:t>Pre-registered in docs/phase17/PREREGISTRATION_TARGETED_2026-10-13.md before any outcome was computed; all data had been used before, so these are pre-specified re-analyses (hold-outs: repeated evaluations).</w:t>
      </w:r>
    </w:p>
    <w:p>
      <w:pPr>
        <w:spacing w:after="120"/>
      </w:pPr>
      <w:r>
        <w:t>Leave-one-owner-out B13 over the 10 LoCoMo owners (thresholds fitted on the other nine owners, frozen before the held-out owner was scored): detection 116/200, benign exclusion 15/2541 (per owner at most 1.5%), matching the shipped thresholds. Wrong-owner evidence raised benign exclusion to 474/2541 and a 10% conversation to 546/2541. A conservative policy (defer unrelated, exclude contradicted) detected 104 and excluded 29 benign and was rejected under its pre-declared criterion. Content-only B12 detected 0 of these fabrications. The earlier 'threefold owner instability' compared two benign budgets (the shipped constants were set at top_k 5 and sit at a 0.5% budget at top_k 20) and is withdrawn. B13_OWNER_GENERALISATION_REPORT.md.</w:t>
      </w:r>
    </w:p>
    <w:p>
      <w:pPr>
        <w:spacing w:after="120"/>
      </w:pPr>
      <w:r>
        <w:t>Attack validity with an empty-memory arm (150 items; 'without memory' in earlier sections is the clean-memory arm): under the fitted probe the empty store was judged compliant more often than the clean store (59 vs 38), so the fitted probe leaks the note's content; under the non-leading probe they coincide (5 vs 5). The memory-attributable effect (poisoned minus clean) is +47.3 and +24.0 points under C0 for the two probes, positive with cluster-robust intervals under both judges; defence ranking is identical across all definitions and probes. PROBE_AND_ATTACK_VALIDITY_FINAL.md.</w:t>
      </w:r>
    </w:p>
    <w:p>
      <w:pPr>
        <w:spacing w:after="120"/>
      </w:pPr>
      <w:r>
        <w:t>Annotation: annotator 1 is the author; annotator 2 is the author's friend, who labelled on the author's laptop under written blinding instructions. Neither is independent of the author; the labels are used only to choose between LLM judges. ANNOTATION_PROVENANCE_FINAL.md.</w:t>
      </w:r>
    </w:p>
    <w:p>
      <w:pPr>
        <w:pStyle w:val="Heading1"/>
      </w:pPr>
      <w:r>
        <w:t>Definitions and Formulas</w:t>
      </w:r>
    </w:p>
    <w:p>
      <w:pPr>
        <w:spacing w:after="120"/>
      </w:pPr>
      <w:r>
        <w:t>Every reported number is a count turned into a rate or a test by one of the formulas below; each names the code that computes it, constants included, so any figure in this document can be recomputed from its counts. The same table appears in the methodology.</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Quantity</w:t>
            </w:r>
          </w:p>
        </w:tc>
        <w:tc>
          <w:tcPr>
            <w:tcW w:type="dxa" w:w="2880"/>
          </w:tcPr>
          <w:p>
            <w:pPr>
              <w:spacing w:after="40"/>
            </w:pPr>
            <w:r>
              <w:rPr>
                <w:b/>
                <w:sz w:val="18"/>
              </w:rPr>
              <w:t>Formula</w:t>
            </w:r>
          </w:p>
        </w:tc>
        <w:tc>
          <w:tcPr>
            <w:tcW w:type="dxa" w:w="2880"/>
          </w:tcPr>
          <w:p>
            <w:pPr>
              <w:spacing w:after="40"/>
            </w:pPr>
            <w:r>
              <w:rPr>
                <w:b/>
                <w:sz w:val="18"/>
              </w:rPr>
              <w:t>Computed in</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Rate and 95% Wilson interval</w:t>
            </w:r>
          </w:p>
        </w:tc>
        <w:tc>
          <w:tcPr>
            <w:tcW w:type="dxa" w:w="2880"/>
          </w:tcPr>
          <w:p>
            <w:pPr>
              <w:spacing w:after="40"/>
            </w:pPr>
            <w:r>
              <w:rPr>
                <w:sz w:val="18"/>
              </w:rPr>
              <w:t>p̂ = k / n;  CI = [ p̂ + z²/2n ± z·√( p̂(1−p̂)/n + z²/4n² ) ] / (1 + z²/n),  z = 1.96</w:t>
            </w:r>
          </w:p>
        </w:tc>
        <w:tc>
          <w:tcPr>
            <w:tcW w:type="dxa" w:w="2880"/>
          </w:tcPr>
          <w:p>
            <w:pPr>
              <w:spacing w:after="40"/>
            </w:pPr>
            <w:r>
              <w:rPr>
                <w:sz w:val="18"/>
              </w:rPr>
              <w:t>phase17/stats.py: wilson_interval</w:t>
            </w:r>
          </w:p>
        </w:tc>
      </w:tr>
      <w:tr>
        <w:tc>
          <w:tcPr>
            <w:tcW w:type="dxa" w:w="2880"/>
          </w:tcPr>
          <w:p>
            <w:pPr>
              <w:spacing w:after="40"/>
            </w:pPr>
            <w:r>
              <w:rPr>
                <w:sz w:val="18"/>
              </w:rPr>
              <w:t>Paired comparison: exact McNemar</w:t>
            </w:r>
          </w:p>
        </w:tc>
        <w:tc>
          <w:tcPr>
            <w:tcW w:type="dxa" w:w="2880"/>
          </w:tcPr>
          <w:p>
            <w:pPr>
              <w:spacing w:after="40"/>
            </w:pPr>
            <w:r>
              <w:rPr>
                <w:sz w:val="18"/>
              </w:rPr>
              <w:t>b = items only arm A flags, c = items only arm B flags;  p = min(1, 2·Σ_{i=0}^{min(b,c)} C(b+c, i)·2^−(b+c))</w:t>
            </w:r>
          </w:p>
        </w:tc>
        <w:tc>
          <w:tcPr>
            <w:tcW w:type="dxa" w:w="2880"/>
          </w:tcPr>
          <w:p>
            <w:pPr>
              <w:spacing w:after="40"/>
            </w:pPr>
            <w:r>
              <w:rPr>
                <w:sz w:val="18"/>
              </w:rPr>
              <w:t>phase17/stats.py: exact_mcnemar_p, paired_delta</w:t>
            </w:r>
          </w:p>
        </w:tc>
      </w:tr>
      <w:tr>
        <w:tc>
          <w:tcPr>
            <w:tcW w:type="dxa" w:w="2880"/>
          </w:tcPr>
          <w:p>
            <w:pPr>
              <w:spacing w:after="40"/>
            </w:pPr>
            <w:r>
              <w:rPr>
                <w:sz w:val="18"/>
              </w:rPr>
              <w:t>Multiplicity: Holm correction</w:t>
            </w:r>
          </w:p>
        </w:tc>
        <w:tc>
          <w:tcPr>
            <w:tcW w:type="dxa" w:w="2880"/>
          </w:tcPr>
          <w:p>
            <w:pPr>
              <w:spacing w:after="40"/>
            </w:pPr>
            <w:r>
              <w:rPr>
                <w:sz w:val="18"/>
              </w:rPr>
              <w:t>order the m p-values p(1) ≤ … ≤ p(m);  p̃(i) = max_{j ≤ i} min(1, (m − j + 1)·p(j));  holds if p̃ &lt; 0.05</w:t>
            </w:r>
          </w:p>
        </w:tc>
        <w:tc>
          <w:tcPr>
            <w:tcW w:type="dxa" w:w="2880"/>
          </w:tcPr>
          <w:p>
            <w:pPr>
              <w:spacing w:after="40"/>
            </w:pPr>
            <w:r>
              <w:rPr>
                <w:sz w:val="18"/>
              </w:rPr>
              <w:t>phase17/report_round7.py (one family: every prediction with a p &lt; 0.05 criterion)</w:t>
            </w:r>
          </w:p>
        </w:tc>
      </w:tr>
      <w:tr>
        <w:tc>
          <w:tcPr>
            <w:tcW w:type="dxa" w:w="2880"/>
          </w:tcPr>
          <w:p>
            <w:pPr>
              <w:spacing w:after="40"/>
            </w:pPr>
            <w:r>
              <w:rPr>
                <w:sz w:val="18"/>
              </w:rPr>
              <w:t>Unpaired comparison of two rates: Fisher exact</w:t>
            </w:r>
          </w:p>
        </w:tc>
        <w:tc>
          <w:tcPr>
            <w:tcW w:type="dxa" w:w="2880"/>
          </w:tcPr>
          <w:p>
            <w:pPr>
              <w:spacing w:after="40"/>
            </w:pPr>
            <w:r>
              <w:rPr>
                <w:sz w:val="18"/>
              </w:rPr>
              <w:t>2×2 table [[a, n₁−a], [c, n₂−c]];  two-sided p = Σ of hypergeometric probabilities ≤ that of the observed table</w:t>
            </w:r>
          </w:p>
        </w:tc>
        <w:tc>
          <w:tcPr>
            <w:tcW w:type="dxa" w:w="2880"/>
          </w:tcPr>
          <w:p>
            <w:pPr>
              <w:spacing w:after="40"/>
            </w:pPr>
            <w:r>
              <w:rPr>
                <w:sz w:val="18"/>
              </w:rPr>
              <w:t>adaptive evasion against the stateless reference 32/130 (scipy.stats.fisher_exact)</w:t>
            </w:r>
          </w:p>
        </w:tc>
      </w:tr>
      <w:tr>
        <w:tc>
          <w:tcPr>
            <w:tcW w:type="dxa" w:w="2880"/>
          </w:tcPr>
          <w:p>
            <w:pPr>
              <w:spacing w:after="40"/>
            </w:pPr>
            <w:r>
              <w:rPr>
                <w:sz w:val="18"/>
              </w:rPr>
              <w:t>Agreement: Cohen's κ</w:t>
            </w:r>
          </w:p>
        </w:tc>
        <w:tc>
          <w:tcPr>
            <w:tcW w:type="dxa" w:w="2880"/>
          </w:tcPr>
          <w:p>
            <w:pPr>
              <w:spacing w:after="40"/>
            </w:pPr>
            <w:r>
              <w:rPr>
                <w:sz w:val="18"/>
              </w:rPr>
              <w:t>κ = (p_o − p_e) / (1 − p_e);  p_e = p_A·p_B + (1 − p_A)(1 − p_B)</w:t>
            </w:r>
          </w:p>
        </w:tc>
        <w:tc>
          <w:tcPr>
            <w:tcW w:type="dxa" w:w="2880"/>
          </w:tcPr>
          <w:p>
            <w:pPr>
              <w:spacing w:after="40"/>
            </w:pPr>
            <w:r>
              <w:rPr>
                <w:sz w:val="18"/>
              </w:rPr>
              <w:t>phase17/human_labels.py, phase17/harm_judge_fix.py</w:t>
            </w:r>
          </w:p>
        </w:tc>
      </w:tr>
      <w:tr>
        <w:tc>
          <w:tcPr>
            <w:tcW w:type="dxa" w:w="2880"/>
          </w:tcPr>
          <w:p>
            <w:pPr>
              <w:spacing w:after="40"/>
            </w:pPr>
            <w:r>
              <w:rPr>
                <w:sz w:val="18"/>
              </w:rPr>
              <w:t>Power check before any paired design</w:t>
            </w:r>
          </w:p>
        </w:tc>
        <w:tc>
          <w:tcPr>
            <w:tcW w:type="dxa" w:w="2880"/>
          </w:tcPr>
          <w:p>
            <w:pPr>
              <w:spacing w:after="40"/>
            </w:pPr>
            <w:r>
              <w:rPr>
                <w:sz w:val="18"/>
              </w:rPr>
              <w:t>m* = smallest m with 2·2^−m ≤ α (m* = 6 at α = 0.05);  refuse unless n_at_risk·r ≥ 2·m*</w:t>
            </w:r>
          </w:p>
        </w:tc>
        <w:tc>
          <w:tcPr>
            <w:tcW w:type="dxa" w:w="2880"/>
          </w:tcPr>
          <w:p>
            <w:pPr>
              <w:spacing w:after="40"/>
            </w:pPr>
            <w:r>
              <w:rPr>
                <w:sz w:val="18"/>
              </w:rPr>
              <w:t>phase17/stats.py: require_power</w:t>
            </w:r>
          </w:p>
        </w:tc>
      </w:tr>
      <w:tr>
        <w:tc>
          <w:tcPr>
            <w:tcW w:type="dxa" w:w="2880"/>
          </w:tcPr>
          <w:p>
            <w:pPr>
              <w:spacing w:after="40"/>
            </w:pPr>
            <w:r>
              <w:rPr>
                <w:sz w:val="18"/>
              </w:rPr>
              <w:t>Noise floor for an n-item comparison</w:t>
            </w:r>
          </w:p>
        </w:tc>
        <w:tc>
          <w:tcPr>
            <w:tcW w:type="dxa" w:w="2880"/>
          </w:tcPr>
          <w:p>
            <w:pPr>
              <w:spacing w:after="40"/>
            </w:pPr>
            <w:r>
              <w:rPr>
                <w:sz w:val="18"/>
              </w:rPr>
              <w:t>f(n) = 5·√(120 / n) percentage points (5 points at n = 120; measured run-to-run SD 0.8–1.7)</w:t>
            </w:r>
          </w:p>
        </w:tc>
        <w:tc>
          <w:tcPr>
            <w:tcW w:type="dxa" w:w="2880"/>
          </w:tcPr>
          <w:p>
            <w:pPr>
              <w:spacing w:after="40"/>
            </w:pPr>
            <w:r>
              <w:rPr>
                <w:sz w:val="18"/>
              </w:rPr>
              <w:t>phase17/stats.py: noise_floor_points</w:t>
            </w:r>
          </w:p>
        </w:tc>
      </w:tr>
      <w:tr>
        <w:tc>
          <w:tcPr>
            <w:tcW w:type="dxa" w:w="2880"/>
          </w:tcPr>
          <w:p>
            <w:pPr>
              <w:spacing w:after="40"/>
            </w:pPr>
            <w:r>
              <w:rPr>
                <w:sz w:val="18"/>
              </w:rPr>
              <w:t>MEASUREMENT</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Working attack</w:t>
            </w:r>
          </w:p>
        </w:tc>
        <w:tc>
          <w:tcPr>
            <w:tcW w:type="dxa" w:w="2880"/>
          </w:tcPr>
          <w:p>
            <w:pPr>
              <w:spacing w:after="40"/>
            </w:pPr>
            <w:r>
              <w:rPr>
                <w:sz w:val="18"/>
              </w:rPr>
              <w:t>W = { i : agent complies with memory(i) ∧ ¬ complies without it ∧ mechanism(i) };  reportable iff (1/n)·Σ complies-without ≤ 0.20</w:t>
            </w:r>
          </w:p>
        </w:tc>
        <w:tc>
          <w:tcPr>
            <w:tcW w:type="dxa" w:w="2880"/>
          </w:tcPr>
          <w:p>
            <w:pPr>
              <w:spacing w:after="40"/>
            </w:pPr>
            <w:r>
              <w:rPr>
                <w:sz w:val="18"/>
              </w:rPr>
              <w:t>phase17/working_set.py (MAX_PROBE_BASE_RATE = 0.20)</w:t>
            </w:r>
          </w:p>
        </w:tc>
      </w:tr>
      <w:tr>
        <w:tc>
          <w:tcPr>
            <w:tcW w:type="dxa" w:w="2880"/>
          </w:tcPr>
          <w:p>
            <w:pPr>
              <w:spacing w:after="40"/>
            </w:pPr>
            <w:r>
              <w:rPr>
                <w:sz w:val="18"/>
              </w:rPr>
              <w:t>Recall on both denominators; false-positive rate</w:t>
            </w:r>
          </w:p>
        </w:tc>
        <w:tc>
          <w:tcPr>
            <w:tcW w:type="dxa" w:w="2880"/>
          </w:tcPr>
          <w:p>
            <w:pPr>
              <w:spacing w:after="40"/>
            </w:pPr>
            <w:r>
              <w:rPr>
                <w:sz w:val="18"/>
              </w:rPr>
              <w:t>recall = |flagged ∩ A| / |A|;  recall_W = |flagged ∩ W| / |W|;  FPR = |flagged ∩ B| / |B|  (A attacks, B benign)</w:t>
            </w:r>
          </w:p>
        </w:tc>
        <w:tc>
          <w:tcPr>
            <w:tcW w:type="dxa" w:w="2880"/>
          </w:tcPr>
          <w:p>
            <w:pPr>
              <w:spacing w:after="40"/>
            </w:pPr>
            <w:r>
              <w:rPr>
                <w:sz w:val="18"/>
              </w:rPr>
              <w:t>every evaluation module</w:t>
            </w:r>
          </w:p>
        </w:tc>
      </w:tr>
      <w:tr>
        <w:tc>
          <w:tcPr>
            <w:tcW w:type="dxa" w:w="2880"/>
          </w:tcPr>
          <w:p>
            <w:pPr>
              <w:spacing w:after="40"/>
            </w:pPr>
            <w:r>
              <w:rPr>
                <w:sz w:val="18"/>
              </w:rPr>
              <w:t>Near-duplicate test</w:t>
            </w:r>
          </w:p>
        </w:tc>
        <w:tc>
          <w:tcPr>
            <w:tcW w:type="dxa" w:w="2880"/>
          </w:tcPr>
          <w:p>
            <w:pPr>
              <w:spacing w:after="40"/>
            </w:pPr>
            <w:r>
              <w:rPr>
                <w:sz w:val="18"/>
              </w:rPr>
              <w:t>c(a, R) = max_{r ∈ R} |S₅(a) ∩ S₅(r)| / |S₅(a)|, S₅ = word 5-grams after stripping wrappers;  near-copy iff c ≥ 0.6</w:t>
            </w:r>
          </w:p>
        </w:tc>
        <w:tc>
          <w:tcPr>
            <w:tcW w:type="dxa" w:w="2880"/>
          </w:tcPr>
          <w:p>
            <w:pPr>
              <w:spacing w:after="40"/>
            </w:pPr>
            <w:r>
              <w:rPr>
                <w:sz w:val="18"/>
              </w:rPr>
              <w:t>phase17/near_dup.py</w:t>
            </w:r>
          </w:p>
        </w:tc>
      </w:tr>
      <w:tr>
        <w:tc>
          <w:tcPr>
            <w:tcW w:type="dxa" w:w="2880"/>
          </w:tcPr>
          <w:p>
            <w:pPr>
              <w:spacing w:after="40"/>
            </w:pPr>
            <w:r>
              <w:rPr>
                <w:sz w:val="18"/>
              </w:rPr>
              <w:t>Exposure and benign displacement (retrieval ranking)</w:t>
            </w:r>
          </w:p>
        </w:tc>
        <w:tc>
          <w:tcPr>
            <w:tcW w:type="dxa" w:w="2880"/>
          </w:tcPr>
          <w:p>
            <w:pPr>
              <w:spacing w:after="40"/>
            </w:pPr>
            <w:r>
              <w:rPr>
                <w:sz w:val="18"/>
              </w:rPr>
              <w:t>exposure = (1/N)·Σ 1[poison ∈ Top_k(arm)];  displacement = (1/kN)·Σ |Top_k(A0) ∖ Top_k(arm)|, on stores without the poison</w:t>
            </w:r>
          </w:p>
        </w:tc>
        <w:tc>
          <w:tcPr>
            <w:tcW w:type="dxa" w:w="2880"/>
          </w:tcPr>
          <w:p>
            <w:pPr>
              <w:spacing w:after="40"/>
            </w:pPr>
            <w:r>
              <w:rPr>
                <w:sz w:val="18"/>
              </w:rPr>
              <w:t>phase17/risk_weighted_retrieval_eval.py (k = 5, pool 20)</w:t>
            </w:r>
          </w:p>
        </w:tc>
      </w:tr>
      <w:tr>
        <w:tc>
          <w:tcPr>
            <w:tcW w:type="dxa" w:w="2880"/>
          </w:tcPr>
          <w:p>
            <w:pPr>
              <w:spacing w:after="40"/>
            </w:pPr>
            <w:r>
              <w:rPr>
                <w:sz w:val="18"/>
              </w:rPr>
              <w:t>Ranking a review queue</w:t>
            </w:r>
          </w:p>
        </w:tc>
        <w:tc>
          <w:tcPr>
            <w:tcW w:type="dxa" w:w="2880"/>
          </w:tcPr>
          <w:p>
            <w:pPr>
              <w:spacing w:after="40"/>
            </w:pPr>
            <w:r>
              <w:rPr>
                <w:sz w:val="18"/>
              </w:rPr>
              <w:t>precision@k = |P ∩ first k| / k;  AP = (1/|P|)·Σ_k precision@k·1[item_k ∈ P]</w:t>
            </w:r>
          </w:p>
        </w:tc>
        <w:tc>
          <w:tcPr>
            <w:tcW w:type="dxa" w:w="2880"/>
          </w:tcPr>
          <w:p>
            <w:pPr>
              <w:spacing w:after="40"/>
            </w:pPr>
            <w:r>
              <w:rPr>
                <w:sz w:val="18"/>
              </w:rPr>
              <w:t>phase17/risk_monitoring_eval.py</w:t>
            </w:r>
          </w:p>
        </w:tc>
      </w:tr>
      <w:tr>
        <w:tc>
          <w:tcPr>
            <w:tcW w:type="dxa" w:w="2880"/>
          </w:tcPr>
          <w:p>
            <w:pPr>
              <w:spacing w:after="40"/>
            </w:pPr>
            <w:r>
              <w:rPr>
                <w:sz w:val="18"/>
              </w:rPr>
              <w:t>Compliance judge (majority vote, round 2)</w:t>
            </w:r>
          </w:p>
        </w:tc>
        <w:tc>
          <w:tcPr>
            <w:tcW w:type="dxa" w:w="2880"/>
          </w:tcPr>
          <w:p>
            <w:pPr>
              <w:spacing w:after="40"/>
            </w:pPr>
            <w:r>
              <w:rPr>
                <w:sz w:val="18"/>
              </w:rPr>
              <w:t>comply(x) = 1[ C0(x) + C1(x) + C3(x) ≥ 2 ]  (llama3.1 original prompt, llama3.1 rubric, mistral rubric);  reported beside C0, never instead of it</w:t>
            </w:r>
          </w:p>
        </w:tc>
        <w:tc>
          <w:tcPr>
            <w:tcW w:type="dxa" w:w="2880"/>
          </w:tcPr>
          <w:p>
            <w:pPr>
              <w:spacing w:after="40"/>
            </w:pPr>
            <w:r>
              <w:rPr>
                <w:sz w:val="18"/>
              </w:rPr>
              <w:t>phase17/compliance_judge_fix.py (selection), phase17/compliance_rejudge.py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Risk estimate (GROUPED_GATED)</w:t>
            </w:r>
          </w:p>
        </w:tc>
        <w:tc>
          <w:tcPr>
            <w:tcW w:type="dxa" w:w="2880"/>
          </w:tcPr>
          <w:p>
            <w:pPr>
              <w:spacing w:after="40"/>
            </w:pPr>
            <w:r>
              <w:rPr>
                <w:sz w:val="18"/>
              </w:rPr>
              <w:t>R = Σ_g 0.25·s_g over the four guard groups (admission, retrieval, propagation, sleeper), R ∈ [0, 1];  band = HIGH if R ≥ 0.6, ELEVATED if R ≥ 0.35, MODERATE if R ≥ 0.05, else LOW</w:t>
            </w:r>
          </w:p>
        </w:tc>
        <w:tc>
          <w:tcPr>
            <w:tcW w:type="dxa" w:w="2880"/>
          </w:tcPr>
          <w:p>
            <w:pPr>
              <w:spacing w:after="40"/>
            </w:pPr>
            <w:r>
              <w:rPr>
                <w:sz w:val="18"/>
              </w:rPr>
              <w:t>phase6/defense/risk/risk_score.py</w:t>
            </w:r>
          </w:p>
        </w:tc>
      </w:tr>
      <w:tr>
        <w:tc>
          <w:tcPr>
            <w:tcW w:type="dxa" w:w="2880"/>
          </w:tcPr>
          <w:p>
            <w:pPr>
              <w:spacing w:after="40"/>
            </w:pPr>
            <w:r>
              <w:rPr>
                <w:sz w:val="18"/>
              </w:rPr>
              <w:t>Risk band to action</w:t>
            </w:r>
          </w:p>
        </w:tc>
        <w:tc>
          <w:tcPr>
            <w:tcW w:type="dxa" w:w="2880"/>
          </w:tcPr>
          <w:p>
            <w:pPr>
              <w:spacing w:after="40"/>
            </w:pPr>
            <w:r>
              <w:rPr>
                <w:sz w:val="18"/>
              </w:rPr>
              <w:t>LOW → ALLOW;  MODERATE, ELEVATED → REQUIRE_VALIDATION;  HIGH → QUARANTINE</w:t>
            </w:r>
          </w:p>
        </w:tc>
        <w:tc>
          <w:tcPr>
            <w:tcW w:type="dxa" w:w="2880"/>
          </w:tcPr>
          <w:p>
            <w:pPr>
              <w:spacing w:after="40"/>
            </w:pPr>
            <w:r>
              <w:rPr>
                <w:sz w:val="18"/>
              </w:rPr>
              <w:t>phase6/defense/risk/risk_action.py</w:t>
            </w:r>
          </w:p>
        </w:tc>
      </w:tr>
      <w:tr>
        <w:tc>
          <w:tcPr>
            <w:tcW w:type="dxa" w:w="2880"/>
          </w:tcPr>
          <w:p>
            <w:pPr>
              <w:spacing w:after="40"/>
            </w:pPr>
            <w:r>
              <w:rPr>
                <w:sz w:val="18"/>
              </w:rPr>
              <w:t>Consensus guard (fixed gate)</w:t>
            </w:r>
          </w:p>
        </w:tc>
        <w:tc>
          <w:tcPr>
            <w:tcW w:type="dxa" w:w="2880"/>
          </w:tcPr>
          <w:p>
            <w:pPr>
              <w:spacing w:after="40"/>
            </w:pPr>
            <w:r>
              <w:rPr>
                <w:sz w:val="18"/>
              </w:rPr>
              <w:t>d = consensus divergence of the candidate within the retrieved pool;  π = min(0.5, 0.5·d) if d ≥ 0.3 else 0;  score′ = score·(1 − π)</w:t>
            </w:r>
          </w:p>
        </w:tc>
        <w:tc>
          <w:tcPr>
            <w:tcW w:type="dxa" w:w="2880"/>
          </w:tcPr>
          <w:p>
            <w:pPr>
              <w:spacing w:after="40"/>
            </w:pPr>
            <w:r>
              <w:rPr>
                <w:sz w:val="18"/>
              </w:rPr>
              <w:t>phase6/defense/retrieval/consensus_guard.py (lexical by default; semantic in B2s–B8s)</w:t>
            </w:r>
          </w:p>
        </w:tc>
      </w:tr>
      <w:tr>
        <w:tc>
          <w:tcPr>
            <w:tcW w:type="dxa" w:w="2880"/>
          </w:tcPr>
          <w:p>
            <w:pPr>
              <w:spacing w:after="40"/>
            </w:pPr>
            <w:r>
              <w:rPr>
                <w:sz w:val="18"/>
              </w:rPr>
              <w:t>Risk-weighted ranking penalty</w:t>
            </w:r>
          </w:p>
        </w:tc>
        <w:tc>
          <w:tcPr>
            <w:tcW w:type="dxa" w:w="2880"/>
          </w:tcPr>
          <w:p>
            <w:pPr>
              <w:spacing w:after="40"/>
            </w:pPr>
            <w:r>
              <w:rPr>
                <w:sz w:val="18"/>
              </w:rPr>
              <w:t>R′ = (1/n)·Σ_{j=1}^{n} s_j over the n signals present (divergence plus any corroborating ones);  π = min(0.5, 0.5·R′), no threshold</w:t>
            </w:r>
          </w:p>
        </w:tc>
        <w:tc>
          <w:tcPr>
            <w:tcW w:type="dxa" w:w="2880"/>
          </w:tcPr>
          <w:p>
            <w:pPr>
              <w:spacing w:after="40"/>
            </w:pPr>
            <w:r>
              <w:rPr>
                <w:sz w:val="18"/>
              </w:rPr>
              <w:t>phase6/defense/risk/risk_weighted_retrieval.py</w:t>
            </w:r>
          </w:p>
        </w:tc>
      </w:tr>
      <w:tr>
        <w:tc>
          <w:tcPr>
            <w:tcW w:type="dxa" w:w="2880"/>
          </w:tcPr>
          <w:p>
            <w:pPr>
              <w:spacing w:after="40"/>
            </w:pPr>
            <w:r>
              <w:rPr>
                <w:sz w:val="18"/>
              </w:rPr>
              <w:t>Corroboration (B13)</w:t>
            </w:r>
          </w:p>
        </w:tc>
        <w:tc>
          <w:tcPr>
            <w:tcW w:type="dxa" w:w="2880"/>
          </w:tcPr>
          <w:p>
            <w:pPr>
              <w:spacing w:after="40"/>
            </w:pPr>
            <w:r>
              <w:rPr>
                <w:sz w:val="18"/>
              </w:rPr>
              <w:t>s = NLI support of a personal claim against the owner's conversation;  exclude if s &lt; 0.0019, or s &lt; 0.0057 and the claim is a preference</w:t>
            </w:r>
          </w:p>
        </w:tc>
        <w:tc>
          <w:tcPr>
            <w:tcW w:type="dxa" w:w="2880"/>
          </w:tcPr>
          <w:p>
            <w:pPr>
              <w:spacing w:after="40"/>
            </w:pPr>
            <w:r>
              <w:rPr>
                <w:sz w:val="18"/>
              </w:rPr>
              <w:t>phase17/b13_live.py (SUPPORT_EXCLUDE, SUPPORT_FLAG)</w:t>
            </w:r>
          </w:p>
        </w:tc>
      </w:tr>
      <w:tr>
        <w:tc>
          <w:tcPr>
            <w:tcW w:type="dxa" w:w="2880"/>
          </w:tcPr>
          <w:p>
            <w:pPr>
              <w:spacing w:after="40"/>
            </w:pPr>
            <w:r>
              <w:rPr>
                <w:sz w:val="18"/>
              </w:rPr>
              <w:t>Rejection ledger</w:t>
            </w:r>
          </w:p>
        </w:tc>
        <w:tc>
          <w:tcPr>
            <w:tcW w:type="dxa" w:w="2880"/>
          </w:tcPr>
          <w:p>
            <w:pPr>
              <w:spacing w:after="40"/>
            </w:pPr>
            <w:r>
              <w:rPr>
                <w:sz w:val="18"/>
              </w:rPr>
              <w:t>refuse x if max_j cos(e(x), e(r_j)) ≥ ρ over the scope's previously rejected entries r_j;  ρ = 0.95 recommended (blast radius 6.4%), 0.97 frozen</w:t>
            </w:r>
          </w:p>
        </w:tc>
        <w:tc>
          <w:tcPr>
            <w:tcW w:type="dxa" w:w="2880"/>
          </w:tcPr>
          <w:p>
            <w:pPr>
              <w:spacing w:after="40"/>
            </w:pPr>
            <w:r>
              <w:rPr>
                <w:sz w:val="18"/>
              </w:rPr>
              <w:t>phase17/rejection_memory.py, phase17/b16_live.py</w:t>
            </w:r>
          </w:p>
        </w:tc>
      </w:tr>
      <w:tr>
        <w:tc>
          <w:tcPr>
            <w:tcW w:type="dxa" w:w="2880"/>
          </w:tcPr>
          <w:p>
            <w:pPr>
              <w:spacing w:after="40"/>
            </w:pPr>
            <w:r>
              <w:rPr>
                <w:sz w:val="18"/>
              </w:rPr>
              <w:t>Unions</w:t>
            </w:r>
          </w:p>
        </w:tc>
        <w:tc>
          <w:tcPr>
            <w:tcW w:type="dxa" w:w="2880"/>
          </w:tcPr>
          <w:p>
            <w:pPr>
              <w:spacing w:after="40"/>
            </w:pPr>
            <w:r>
              <w:rPr>
                <w:sz w:val="18"/>
              </w:rPr>
              <w:t>B17(x) = B13(x) ∨ B14(x);  B18(x) = B17(x) ∨ [deberta(x) ≥ τ_oracle]</w:t>
            </w:r>
          </w:p>
        </w:tc>
        <w:tc>
          <w:tcPr>
            <w:tcW w:type="dxa" w:w="2880"/>
          </w:tcPr>
          <w:p>
            <w:pPr>
              <w:spacing w:after="40"/>
            </w:pPr>
            <w:r>
              <w:rPr>
                <w:sz w:val="18"/>
              </w:rPr>
              <w:t>phase17/b17_live.py, phase17/b18_live.py</w:t>
            </w:r>
          </w:p>
        </w:tc>
      </w:tr>
      <w:tr>
        <w:tc>
          <w:tcPr>
            <w:tcW w:type="dxa" w:w="2880"/>
          </w:tcPr>
          <w:p>
            <w:pPr>
              <w:spacing w:after="40"/>
            </w:pPr>
            <w:r>
              <w:rPr>
                <w:sz w:val="18"/>
              </w:rPr>
              <w:t>Generalized union defense</w:t>
            </w:r>
          </w:p>
        </w:tc>
        <w:tc>
          <w:tcPr>
            <w:tcW w:type="dxa" w:w="2880"/>
          </w:tcPr>
          <w:p>
            <w:pPr>
              <w:spacing w:after="40"/>
            </w:pPr>
            <w:r>
              <w:rPr>
                <w:sz w:val="18"/>
              </w:rPr>
              <w:t>flag(M) = B13(M) OR anomaly(M);  generalizes across attack types because the detectors are complementary (no single one covers all).  A type-router applies only one detector and does not beat it</w:t>
            </w:r>
          </w:p>
        </w:tc>
        <w:tc>
          <w:tcPr>
            <w:tcW w:type="dxa" w:w="2880"/>
          </w:tcPr>
          <w:p>
            <w:pPr>
              <w:spacing w:after="40"/>
            </w:pPr>
            <w:r>
              <w:rPr>
                <w:sz w:val="18"/>
              </w:rPr>
              <w:t>phase17/union_defense_dev.py; phase17/eval_holdout8.py</w:t>
            </w:r>
          </w:p>
        </w:tc>
      </w:tr>
      <w:tr>
        <w:tc>
          <w:tcPr>
            <w:tcW w:type="dxa" w:w="2880"/>
          </w:tcPr>
          <w:p>
            <w:pPr>
              <w:spacing w:after="40"/>
            </w:pPr>
            <w:r>
              <w:rPr>
                <w:sz w:val="18"/>
              </w:rPr>
              <w:t>Planted-memory embedding anomaly (live sleeper signal, exploratory)</w:t>
            </w:r>
          </w:p>
        </w:tc>
        <w:tc>
          <w:tcPr>
            <w:tcW w:type="dxa" w:w="2880"/>
          </w:tcPr>
          <w:p>
            <w:pPr>
              <w:spacing w:after="40"/>
            </w:pPr>
            <w:r>
              <w:rPr>
                <w:sz w:val="18"/>
              </w:rPr>
              <w:t>outlier(M) = min_c ||e(M) - c||  over benign cluster centroids c (KMeans on benign);  flag if outlier &gt;= tau_dev (10% benign FPR).  Catches dormant sleepers; content-independent; not sleeper-specific -- provenance is the primary sleeper defense</w:t>
            </w:r>
          </w:p>
        </w:tc>
        <w:tc>
          <w:tcPr>
            <w:tcW w:type="dxa" w:w="2880"/>
          </w:tcPr>
          <w:p>
            <w:pPr>
              <w:spacing w:after="40"/>
            </w:pPr>
            <w:r>
              <w:rPr>
                <w:sz w:val="18"/>
              </w:rPr>
              <w:t>phase17/sleeper_activation_live.py (benign_cluster_outlier_scores); phase17/eval_holdout8.py</w:t>
            </w:r>
          </w:p>
        </w:tc>
      </w:tr>
      <w:tr>
        <w:tc>
          <w:tcPr>
            <w:tcW w:type="dxa" w:w="2880"/>
          </w:tcPr>
          <w:p>
            <w:pPr>
              <w:spacing w:after="40"/>
            </w:pPr>
            <w:r>
              <w:rPr>
                <w:sz w:val="18"/>
              </w:rPr>
              <w:t>Propagation containment: lineage taint (lexical / semantic)</w:t>
            </w:r>
          </w:p>
        </w:tc>
        <w:tc>
          <w:tcPr>
            <w:tcW w:type="dxa" w:w="2880"/>
          </w:tcPr>
          <w:p>
            <w:pPr>
              <w:spacing w:after="40"/>
            </w:pPr>
            <w:r>
              <w:rPr>
                <w:sz w:val="18"/>
              </w:rPr>
              <w:t>taint(D) = max_a SEVERITY(state_a) * decay(dist_a) * retention(D, a);  retention = Jaccard tokens (lexical, as built) or embedding cosine (semantic);  action by the same bands as the risk score</w:t>
            </w:r>
          </w:p>
        </w:tc>
        <w:tc>
          <w:tcPr>
            <w:tcW w:type="dxa" w:w="2880"/>
          </w:tcPr>
          <w:p>
            <w:pPr>
              <w:spacing w:after="40"/>
            </w:pPr>
            <w:r>
              <w:rPr>
                <w:sz w:val="18"/>
              </w:rPr>
              <w:t>phase6/defense/propagation/containment_guard.py; phase17/derived_memory_eval.py (semantic)</w:t>
            </w:r>
          </w:p>
        </w:tc>
      </w:tr>
      <w:tr>
        <w:tc>
          <w:tcPr>
            <w:tcW w:type="dxa" w:w="2880"/>
          </w:tcPr>
          <w:p>
            <w:pPr>
              <w:spacing w:after="40"/>
            </w:pPr>
            <w:r>
              <w:rPr>
                <w:sz w:val="18"/>
              </w:rPr>
              <w:t>Instruction-aware frame (v6)</w:t>
            </w:r>
          </w:p>
        </w:tc>
        <w:tc>
          <w:tcPr>
            <w:tcW w:type="dxa" w:w="2880"/>
          </w:tcPr>
          <w:p>
            <w:pPr>
              <w:spacing w:after="40"/>
            </w:pPr>
            <w:r>
              <w:rPr>
                <w:sz w:val="18"/>
              </w:rPr>
              <w:t>v6(x) = v3(x) + clause if IMPERATIVE(x) else v3(x);  IMPERATIVE = holdout7_corpus._IMPERATIVE (always, never, must, whenever, from now on, …)</w:t>
            </w:r>
          </w:p>
        </w:tc>
        <w:tc>
          <w:tcPr>
            <w:tcW w:type="dxa" w:w="2880"/>
          </w:tcPr>
          <w:p>
            <w:pPr>
              <w:spacing w:after="40"/>
            </w:pPr>
            <w:r>
              <w:rPr>
                <w:sz w:val="18"/>
              </w:rPr>
              <w:t>phase17/frame_instruction_dev.py</w:t>
            </w:r>
          </w:p>
        </w:tc>
      </w:tr>
      <w:tr>
        <w:tc>
          <w:tcPr>
            <w:tcW w:type="dxa" w:w="2880"/>
          </w:tcPr>
          <w:p>
            <w:pPr>
              <w:spacing w:after="40"/>
            </w:pPr>
            <w:r>
              <w:rPr>
                <w:sz w:val="18"/>
              </w:rPr>
              <w:t>Epistemic quarantine</w:t>
            </w:r>
          </w:p>
        </w:tc>
        <w:tc>
          <w:tcPr>
            <w:tcW w:type="dxa" w:w="2880"/>
          </w:tcPr>
          <w:p>
            <w:pPr>
              <w:spacing w:after="40"/>
            </w:pPr>
            <w:r>
              <w:rPr>
                <w:sz w:val="18"/>
              </w:rPr>
              <w:t>exclude if any non-corroboration B13 rule fires;  if corroboration alone fires, admit the note inside the UNVERIFIED frame;  otherwise admit</w:t>
            </w:r>
          </w:p>
        </w:tc>
        <w:tc>
          <w:tcPr>
            <w:tcW w:type="dxa" w:w="2880"/>
          </w:tcPr>
          <w:p>
            <w:pPr>
              <w:spacing w:after="40"/>
            </w:pPr>
            <w:r>
              <w:rPr>
                <w:sz w:val="18"/>
              </w:rPr>
              <w:t>phase17/epistemic_quarantine.py</w:t>
            </w:r>
          </w:p>
        </w:tc>
      </w:tr>
    </w:tbl>
    <w:p>
      <w:pPr>
        <w:spacing w:after="200"/>
      </w:pPr>
      <w:r>
        <w:rPr>
          <w:i/>
          <w:sz w:val="18"/>
        </w:rPr>
        <w:t>Table F. Formulas behind the reported numbers (phase17/formulas.py).</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yes</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yes</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yes</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round7_summary.md</w:t>
            </w:r>
          </w:p>
        </w:tc>
        <w:tc>
          <w:tcPr>
            <w:tcW w:type="dxa" w:w="2880"/>
          </w:tcPr>
          <w:p>
            <w:pPr>
              <w:spacing w:after="40"/>
            </w:pPr>
            <w:r>
              <w:rPr>
                <w:sz w:val="18"/>
              </w:rPr>
              <w:t>The round-7 summary of findings</w:t>
            </w:r>
          </w:p>
        </w:tc>
        <w:tc>
          <w:tcPr>
            <w:tcW w:type="dxa" w:w="2880"/>
          </w:tcPr>
          <w:p>
            <w:pPr>
              <w:spacing w:after="40"/>
            </w:pPr>
            <w:r>
              <w:rPr>
                <w:sz w:val="18"/>
              </w:rPr>
              <w:t>yes</w:t>
            </w:r>
          </w:p>
        </w:tc>
      </w:tr>
      <w:tr>
        <w:tc>
          <w:tcPr>
            <w:tcW w:type="dxa" w:w="2880"/>
          </w:tcPr>
          <w:p>
            <w:pPr>
              <w:spacing w:after="40"/>
            </w:pPr>
            <w:r>
              <w:rPr>
                <w:sz w:val="18"/>
              </w:rPr>
              <w:t>adaptive_ledger_exploratory.json</w:t>
            </w:r>
          </w:p>
        </w:tc>
        <w:tc>
          <w:tcPr>
            <w:tcW w:type="dxa" w:w="2880"/>
          </w:tcPr>
          <w:p>
            <w:pPr>
              <w:spacing w:after="40"/>
            </w:pPr>
            <w:r>
              <w:rPr>
                <w:sz w:val="18"/>
              </w:rPr>
              <w:t>EXPLORATORY: would the ledger block the adaptive evasions</w:t>
            </w:r>
          </w:p>
        </w:tc>
        <w:tc>
          <w:tcPr>
            <w:tcW w:type="dxa" w:w="2880"/>
          </w:tcPr>
          <w:p>
            <w:pPr>
              <w:spacing w:after="40"/>
            </w:pPr>
            <w:r>
              <w:rPr>
                <w:sz w:val="18"/>
              </w:rPr>
              <w:t>yes</w:t>
            </w:r>
          </w:p>
        </w:tc>
      </w:tr>
      <w:tr>
        <w:tc>
          <w:tcPr>
            <w:tcW w:type="dxa" w:w="2880"/>
          </w:tcPr>
          <w:p>
            <w:pPr>
              <w:spacing w:after="40"/>
            </w:pPr>
            <w:r>
              <w:rPr>
                <w:sz w:val="18"/>
              </w:rPr>
              <w:t>adaptive_ledger_b13.json</w:t>
            </w:r>
          </w:p>
        </w:tc>
        <w:tc>
          <w:tcPr>
            <w:tcW w:type="dxa" w:w="2880"/>
          </w:tcPr>
          <w:p>
            <w:pPr>
              <w:spacing w:after="40"/>
            </w:pPr>
            <w:r>
              <w:rPr>
                <w:sz w:val="18"/>
              </w:rPr>
              <w:t>Ledger composed with corroboration, adaptive attacker (addendum 4)</w:t>
            </w:r>
          </w:p>
        </w:tc>
        <w:tc>
          <w:tcPr>
            <w:tcW w:type="dxa" w:w="2880"/>
          </w:tcPr>
          <w:p>
            <w:pPr>
              <w:spacing w:after="40"/>
            </w:pPr>
            <w:r>
              <w:rPr>
                <w:sz w:val="18"/>
              </w:rPr>
              <w:t>yes</w:t>
            </w:r>
          </w:p>
        </w:tc>
      </w:tr>
      <w:tr>
        <w:tc>
          <w:tcPr>
            <w:tcW w:type="dxa" w:w="2880"/>
          </w:tcPr>
          <w:p>
            <w:pPr>
              <w:spacing w:after="40"/>
            </w:pPr>
            <w:r>
              <w:rPr>
                <w:sz w:val="18"/>
              </w:rPr>
              <w:t>risk_weighted_retrieval_eval.json</w:t>
            </w:r>
          </w:p>
        </w:tc>
        <w:tc>
          <w:tcPr>
            <w:tcW w:type="dxa" w:w="2880"/>
          </w:tcPr>
          <w:p>
            <w:pPr>
              <w:spacing w:after="40"/>
            </w:pPr>
            <w:r>
              <w:rPr>
                <w:sz w:val="18"/>
              </w:rPr>
              <w:t>Phase 10 risk-weighted retrieval ranking, first evaluation (addendum 5)</w:t>
            </w:r>
          </w:p>
        </w:tc>
        <w:tc>
          <w:tcPr>
            <w:tcW w:type="dxa" w:w="2880"/>
          </w:tcPr>
          <w:p>
            <w:pPr>
              <w:spacing w:after="40"/>
            </w:pPr>
            <w:r>
              <w:rPr>
                <w:sz w:val="18"/>
              </w:rPr>
              <w:t>yes</w:t>
            </w:r>
          </w:p>
        </w:tc>
      </w:tr>
      <w:tr>
        <w:tc>
          <w:tcPr>
            <w:tcW w:type="dxa" w:w="2880"/>
          </w:tcPr>
          <w:p>
            <w:pPr>
              <w:spacing w:after="40"/>
            </w:pPr>
            <w:r>
              <w:rPr>
                <w:sz w:val="18"/>
              </w:rPr>
              <w:t>risk_monitoring_eval.json</w:t>
            </w:r>
          </w:p>
        </w:tc>
        <w:tc>
          <w:tcPr>
            <w:tcW w:type="dxa" w:w="2880"/>
          </w:tcPr>
          <w:p>
            <w:pPr>
              <w:spacing w:after="40"/>
            </w:pPr>
            <w:r>
              <w:rPr>
                <w:sz w:val="18"/>
              </w:rPr>
              <w:t>Phase 10 monitoring, first design (random pools; reported as an artifact)</w:t>
            </w:r>
          </w:p>
        </w:tc>
        <w:tc>
          <w:tcPr>
            <w:tcW w:type="dxa" w:w="2880"/>
          </w:tcPr>
          <w:p>
            <w:pPr>
              <w:spacing w:after="40"/>
            </w:pPr>
            <w:r>
              <w:rPr>
                <w:sz w:val="18"/>
              </w:rPr>
              <w:t>yes</w:t>
            </w:r>
          </w:p>
        </w:tc>
      </w:tr>
      <w:tr>
        <w:tc>
          <w:tcPr>
            <w:tcW w:type="dxa" w:w="2880"/>
          </w:tcPr>
          <w:p>
            <w:pPr>
              <w:spacing w:after="40"/>
            </w:pPr>
            <w:r>
              <w:rPr>
                <w:sz w:val="18"/>
              </w:rPr>
              <w:t>risk_monitoring_eval_realistic.json</w:t>
            </w:r>
          </w:p>
        </w:tc>
        <w:tc>
          <w:tcPr>
            <w:tcW w:type="dxa" w:w="2880"/>
          </w:tcPr>
          <w:p>
            <w:pPr>
              <w:spacing w:after="40"/>
            </w:pPr>
            <w:r>
              <w:rPr>
                <w:sz w:val="18"/>
              </w:rPr>
              <w:t>Phase 10 monitoring, realistic retrieval pools</w:t>
            </w:r>
          </w:p>
        </w:tc>
        <w:tc>
          <w:tcPr>
            <w:tcW w:type="dxa" w:w="2880"/>
          </w:tcPr>
          <w:p>
            <w:pPr>
              <w:spacing w:after="40"/>
            </w:pPr>
            <w:r>
              <w:rPr>
                <w:sz w:val="18"/>
              </w:rPr>
              <w:t>yes</w:t>
            </w:r>
          </w:p>
        </w:tc>
      </w:tr>
      <w:tr>
        <w:tc>
          <w:tcPr>
            <w:tcW w:type="dxa" w:w="2880"/>
          </w:tcPr>
          <w:p>
            <w:pPr>
              <w:spacing w:after="40"/>
            </w:pPr>
            <w:r>
              <w:rPr>
                <w:sz w:val="18"/>
              </w:rPr>
              <w:t>phase6_semantic_variants.json</w:t>
            </w:r>
          </w:p>
        </w:tc>
        <w:tc>
          <w:tcPr>
            <w:tcW w:type="dxa" w:w="2880"/>
          </w:tcPr>
          <w:p>
            <w:pPr>
              <w:spacing w:after="40"/>
            </w:pPr>
            <w:r>
              <w:rPr>
                <w:sz w:val="18"/>
              </w:rPr>
              <w:t>Phase 6 ablation with the semantic retrieval variants beside the originals</w:t>
            </w:r>
          </w:p>
        </w:tc>
        <w:tc>
          <w:tcPr>
            <w:tcW w:type="dxa" w:w="2880"/>
          </w:tcPr>
          <w:p>
            <w:pPr>
              <w:spacing w:after="40"/>
            </w:pPr>
            <w:r>
              <w:rPr>
                <w:sz w:val="18"/>
              </w:rPr>
              <w:t>yes</w:t>
            </w:r>
          </w:p>
        </w:tc>
      </w:tr>
      <w:tr>
        <w:tc>
          <w:tcPr>
            <w:tcW w:type="dxa" w:w="2880"/>
          </w:tcPr>
          <w:p>
            <w:pPr>
              <w:spacing w:after="40"/>
            </w:pPr>
            <w:r>
              <w:rPr>
                <w:sz w:val="18"/>
              </w:rPr>
              <w:t>rwr_semantic_exploratory.json</w:t>
            </w:r>
          </w:p>
        </w:tc>
        <w:tc>
          <w:tcPr>
            <w:tcW w:type="dxa" w:w="2880"/>
          </w:tcPr>
          <w:p>
            <w:pPr>
              <w:spacing w:after="40"/>
            </w:pPr>
            <w:r>
              <w:rPr>
                <w:sz w:val="18"/>
              </w:rPr>
              <w:t>EXPLORATORY: semantic divergence on the original stores</w:t>
            </w:r>
          </w:p>
        </w:tc>
        <w:tc>
          <w:tcPr>
            <w:tcW w:type="dxa" w:w="2880"/>
          </w:tcPr>
          <w:p>
            <w:pPr>
              <w:spacing w:after="40"/>
            </w:pPr>
            <w:r>
              <w:rPr>
                <w:sz w:val="18"/>
              </w:rPr>
              <w:t>yes</w:t>
            </w:r>
          </w:p>
        </w:tc>
      </w:tr>
      <w:tr>
        <w:tc>
          <w:tcPr>
            <w:tcW w:type="dxa" w:w="2880"/>
          </w:tcPr>
          <w:p>
            <w:pPr>
              <w:spacing w:after="40"/>
            </w:pPr>
            <w:r>
              <w:rPr>
                <w:sz w:val="18"/>
              </w:rPr>
              <w:t>rwr_fresh_replication.json</w:t>
            </w:r>
          </w:p>
        </w:tc>
        <w:tc>
          <w:tcPr>
            <w:tcW w:type="dxa" w:w="2880"/>
          </w:tcPr>
          <w:p>
            <w:pPr>
              <w:spacing w:after="40"/>
            </w:pPr>
            <w:r>
              <w:rPr>
                <w:sz w:val="18"/>
              </w:rPr>
              <w:t>Fresh-store replication (addendum 6)</w:t>
            </w:r>
          </w:p>
        </w:tc>
        <w:tc>
          <w:tcPr>
            <w:tcW w:type="dxa" w:w="2880"/>
          </w:tcPr>
          <w:p>
            <w:pPr>
              <w:spacing w:after="40"/>
            </w:pPr>
            <w:r>
              <w:rPr>
                <w:sz w:val="18"/>
              </w:rPr>
              <w:t>yes</w:t>
            </w:r>
          </w:p>
        </w:tc>
      </w:tr>
      <w:tr>
        <w:tc>
          <w:tcPr>
            <w:tcW w:type="dxa" w:w="2880"/>
          </w:tcPr>
          <w:p>
            <w:pPr>
              <w:spacing w:after="40"/>
            </w:pPr>
            <w:r>
              <w:rPr>
                <w:sz w:val="18"/>
              </w:rPr>
              <w:t>rwr_campaign.json</w:t>
            </w:r>
          </w:p>
        </w:tc>
        <w:tc>
          <w:tcPr>
            <w:tcW w:type="dxa" w:w="2880"/>
          </w:tcPr>
          <w:p>
            <w:pPr>
              <w:spacing w:after="40"/>
            </w:pPr>
            <w:r>
              <w:rPr>
                <w:sz w:val="18"/>
              </w:rPr>
              <w:t>Consensus guard against coordinated campaigns (addendum 6)</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