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2026-10-15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Real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with another owner's conversation as evidence corroboration stops discriminating on hold-outs 4 and 8. (The 'threefold' threshold difference first reported here compared two benign budgets, not two owner sets; it is withdrawn -- see Section 17.)</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sleeper-specific detectors failed. S2-1 HELD; S2-2 HELD; S2-3 HELD; S2-4a HELD; S2-4b HELD; S2-5 HELD.</w:t>
      </w:r>
    </w:p>
    <w:p>
      <w:pPr>
        <w:spacing w:after="120"/>
      </w:pPr>
      <w:r>
        <w:t>Real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The earlier 'threefold owner instability' compared two benign budgets (the shipped constants were set at top_k 5 and sit at a 0.5% budget at top_k 20) and is withdrawn. 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failed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the real-world frequency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real benign memories; thresholds re-selected on dev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r>
        <w:drawing>
          <wp:inline xmlns:a="http://schemas.openxmlformats.org/drawingml/2006/main" xmlns:pic="http://schemas.openxmlformats.org/drawingml/2006/picture">
            <wp:extent cx="5760720" cy="2073859"/>
            <wp:docPr id="13" name="Picture 13"/>
            <wp:cNvGraphicFramePr>
              <a:graphicFrameLocks noChangeAspect="1"/>
            </wp:cNvGraphicFramePr>
            <a:graphic>
              <a:graphicData uri="http://schemas.openxmlformats.org/drawingml/2006/picture">
                <pic:pic>
                  <pic:nvPicPr>
                    <pic:cNvPr id="0" name="F8_architecture.png"/>
                    <pic:cNvPicPr/>
                  </pic:nvPicPr>
                  <pic:blipFill>
                    <a:blip r:embed="rId21"/>
                    <a:stretch>
                      <a:fillRect/>
                    </a:stretch>
                  </pic:blipFill>
                  <pic:spPr>
                    <a:xfrm>
                      <a:off x="0" y="0"/>
                      <a:ext cx="5760720" cy="2073859"/>
                    </a:xfrm>
                    <a:prstGeom prst="rect"/>
                  </pic:spPr>
                </pic:pic>
              </a:graphicData>
            </a:graphic>
          </wp:inline>
        </w:drawing>
      </w:r>
    </w:p>
    <w:p>
      <w:pPr>
        <w:spacing w:after="200"/>
      </w:pPr>
      <w:r>
        <w:rPr>
          <w:i/>
          <w:sz w:val="18"/>
        </w:rPr>
        <w:t>Figure 13. The evaluated defence architecture, stage by stage, with each component's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Gap 1: 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59%</w:t>
            </w:r>
          </w:p>
        </w:tc>
      </w:tr>
      <w:tr>
        <w:tc>
          <w:tcPr>
            <w:tcW w:type="dxa" w:w="2160"/>
          </w:tcPr>
          <w:p>
            <w:pPr>
              <w:spacing w:after="40"/>
            </w:pPr>
            <w:r>
              <w:rPr>
                <w:sz w:val="18"/>
              </w:rPr>
              <w:t>Gap 2: 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65%</w:t>
            </w:r>
          </w:p>
        </w:tc>
      </w:tr>
      <w:tr>
        <w:tc>
          <w:tcPr>
            <w:tcW w:type="dxa" w:w="2160"/>
          </w:tcPr>
          <w:p>
            <w:pPr>
              <w:spacing w:after="40"/>
            </w:pPr>
            <w:r>
              <w:rPr>
                <w:sz w:val="18"/>
              </w:rPr>
              <w:t>Gap 3: 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3: 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29%</w:t>
            </w:r>
          </w:p>
        </w:tc>
      </w:tr>
    </w:tbl>
    <w:p>
      <w:pPr>
        <w:spacing w:after="200"/>
      </w:pPr>
      <w:r>
        <w:rPr>
          <w:i/>
          <w:sz w:val="18"/>
        </w:rPr>
        <w:t>Table 22A. Operational closure per gap from the weighted evidence-strength rubric fixed before the final programmes (FINAL_DEFENCE_BASELINE_AUDIT.md section 3). Scores measure evidence strength, not accuracy; no gap reaches the 75% target.</w:t>
      </w:r>
    </w:p>
    <w:p>
      <w:r>
        <w:drawing>
          <wp:inline xmlns:a="http://schemas.openxmlformats.org/drawingml/2006/main" xmlns:pic="http://schemas.openxmlformats.org/drawingml/2006/picture">
            <wp:extent cx="5760720" cy="2468880"/>
            <wp:docPr id="14" name="Picture 14"/>
            <wp:cNvGraphicFramePr>
              <a:graphicFrameLocks noChangeAspect="1"/>
            </wp:cNvGraphicFramePr>
            <a:graphic>
              <a:graphicData uri="http://schemas.openxmlformats.org/drawingml/2006/picture">
                <pic:pic>
                  <pic:nvPicPr>
                    <pic:cNvPr id="0" name="F7_closure.png"/>
                    <pic:cNvPicPr/>
                  </pic:nvPicPr>
                  <pic:blipFill>
                    <a:blip r:embed="rId22"/>
                    <a:stretch>
                      <a:fillRect/>
                    </a:stretch>
                  </pic:blipFill>
                  <pic:spPr>
                    <a:xfrm>
                      <a:off x="0" y="0"/>
                      <a:ext cx="5760720" cy="2468880"/>
                    </a:xfrm>
                    <a:prstGeom prst="rect"/>
                  </pic:spPr>
                </pic:pic>
              </a:graphicData>
            </a:graphic>
          </wp:inline>
        </w:drawing>
      </w:r>
    </w:p>
    <w:p>
      <w:pPr>
        <w:spacing w:after="200"/>
      </w:pPr>
      <w:r>
        <w:rPr>
          <w:i/>
          <w:sz w:val="18"/>
        </w:rPr>
        <w:t>Figure 14. Operational closure per research gap.</w:t>
      </w:r>
    </w:p>
    <w:p>
      <w:pPr>
        <w:pStyle w:val="Heading1"/>
      </w:pPr>
      <w:r>
        <w:t>23. Defence Programme v6 (2026-10-14/15): Root-Cause Fixes</w:t>
      </w:r>
    </w:p>
    <w:p>
      <w:pPr>
        <w:spacing w:after="120"/>
      </w:pPr>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2"/>
      </w:pPr>
      <w:r>
        <w:t>23.1 Design, new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SA-6</w:t>
            </w:r>
          </w:p>
        </w:tc>
        <w:tc>
          <w:tcPr>
            <w:tcW w:type="dxa" w:w="2160"/>
          </w:tcPr>
          <w:p>
            <w:pPr>
              <w:spacing w:after="40"/>
            </w:pPr>
            <w:r>
              <w:rPr>
                <w:sz w:val="18"/>
              </w:rPr>
              <w:t>Gemini, SA-3 template; 6 kinds (implicit/explicit sleepers; ungrounded, grounded, future-plan and unusual legitimate rules); channels assigned deterministically (user/document/missing)</w:t>
            </w:r>
          </w:p>
        </w:tc>
        <w:tc>
          <w:tcPr>
            <w:tcW w:type="dxa" w:w="2160"/>
          </w:tcPr>
          <w:p>
            <w:pPr>
              <w:spacing w:after="40"/>
            </w:pPr>
            <w:r>
              <w:rPr>
                <w:sz w:val="18"/>
              </w:rPr>
              <w:t>480 notes; dev owners 0,2,4,6 / eval 1,3,5,7,8,9</w:t>
            </w:r>
          </w:p>
        </w:tc>
        <w:tc>
          <w:tcPr>
            <w:tcW w:type="dxa" w:w="2160"/>
          </w:tcPr>
          <w:p>
            <w:pPr>
              <w:spacing w:after="40"/>
            </w:pPr>
            <w:r>
              <w:rPr>
                <w:sz w:val="18"/>
              </w:rPr>
              <w:t>Gaps 1 and 3; frozen 857bf53e</w:t>
            </w:r>
          </w:p>
        </w:tc>
      </w:tr>
      <w:tr>
        <w:tc>
          <w:tcPr>
            <w:tcW w:type="dxa" w:w="2160"/>
          </w:tcPr>
          <w:p>
            <w:pPr>
              <w:spacing w:after="40"/>
            </w:pPr>
            <w:r>
              <w:rPr>
                <w:sz w:val="18"/>
              </w:rPr>
              <w:t>MSD</w:t>
            </w:r>
          </w:p>
        </w:tc>
        <w:tc>
          <w:tcPr>
            <w:tcW w:type="dxa" w:w="2160"/>
          </w:tcPr>
          <w:p>
            <w:pPr>
              <w:spacing w:after="40"/>
            </w:pPr>
            <w:r>
              <w:rPr>
                <w:sz w:val="18"/>
              </w:rPr>
              <w:t>1 attack note + 2 legitimate notes per document (seeded)</w:t>
            </w:r>
          </w:p>
        </w:tc>
        <w:tc>
          <w:tcPr>
            <w:tcW w:type="dxa" w:w="2160"/>
          </w:tcPr>
          <w:p>
            <w:pPr>
              <w:spacing w:after="40"/>
            </w:pPr>
            <w:r>
              <w:rPr>
                <w:sz w:val="18"/>
              </w:rPr>
              <w:t>200 documents</w:t>
            </w:r>
          </w:p>
        </w:tc>
        <w:tc>
          <w:tcPr>
            <w:tcW w:type="dxa" w:w="2160"/>
          </w:tcPr>
          <w:p>
            <w:pPr>
              <w:spacing w:after="40"/>
            </w:pPr>
            <w:r>
              <w:rPr>
                <w:sz w:val="18"/>
              </w:rPr>
              <w:t>Claim-level provenance</w:t>
            </w:r>
          </w:p>
        </w:tc>
      </w:tr>
      <w:tr>
        <w:tc>
          <w:tcPr>
            <w:tcW w:type="dxa" w:w="2160"/>
          </w:tcPr>
          <w:p>
            <w:pPr>
              <w:spacing w:after="40"/>
            </w:pPr>
            <w:r>
              <w:rPr>
                <w:sz w:val="18"/>
              </w:rPr>
              <w:t>HO9</w:t>
            </w:r>
          </w:p>
        </w:tc>
        <w:tc>
          <w:tcPr>
            <w:tcW w:type="dxa" w:w="2160"/>
          </w:tcPr>
          <w:p>
            <w:pPr>
              <w:spacing w:after="40"/>
            </w:pPr>
            <w:r>
              <w:rPr>
                <w:sz w:val="18"/>
              </w:rPr>
              <w:t>HO7's generator (mistral:7b-text), owners 2,3,5,9</w:t>
            </w:r>
          </w:p>
        </w:tc>
        <w:tc>
          <w:tcPr>
            <w:tcW w:type="dxa" w:w="2160"/>
          </w:tcPr>
          <w:p>
            <w:pPr>
              <w:spacing w:after="40"/>
            </w:pPr>
            <w:r>
              <w:rPr>
                <w:sz w:val="18"/>
              </w:rPr>
              <w:t>460 instruction (265 flagged), 73 factual (31 flagged), 160 benign</w:t>
            </w:r>
          </w:p>
        </w:tc>
        <w:tc>
          <w:tcPr>
            <w:tcW w:type="dxa" w:w="2160"/>
          </w:tcPr>
          <w:p>
            <w:pPr>
              <w:spacing w:after="40"/>
            </w:pPr>
            <w:r>
              <w:rPr>
                <w:sz w:val="18"/>
              </w:rPr>
              <w:t>Gap 2, powered; frozen e38a4f80</w:t>
            </w:r>
          </w:p>
        </w:tc>
      </w:tr>
      <w:tr>
        <w:tc>
          <w:tcPr>
            <w:tcW w:type="dxa" w:w="2160"/>
          </w:tcPr>
          <w:p>
            <w:pPr>
              <w:spacing w:after="40"/>
            </w:pPr>
            <w:r>
              <w:rPr>
                <w:sz w:val="18"/>
              </w:rPr>
              <w:t>FPB</w:t>
            </w:r>
          </w:p>
        </w:tc>
        <w:tc>
          <w:tcPr>
            <w:tcW w:type="dxa" w:w="2160"/>
          </w:tcPr>
          <w:p>
            <w:pPr>
              <w:spacing w:after="40"/>
            </w:pPr>
            <w:r>
              <w:rPr>
                <w:sz w:val="18"/>
              </w:rPr>
              <w:t>8 controlled transformations per root (Gemini)</w:t>
            </w:r>
          </w:p>
        </w:tc>
        <w:tc>
          <w:tcPr>
            <w:tcW w:type="dxa" w:w="2160"/>
          </w:tcPr>
          <w:p>
            <w:pPr>
              <w:spacing w:after="40"/>
            </w:pPr>
            <w:r>
              <w:rPr>
                <w:sz w:val="18"/>
              </w:rPr>
              <w:t>dev 80 / eval 140 roots</w:t>
            </w:r>
          </w:p>
        </w:tc>
        <w:tc>
          <w:tcPr>
            <w:tcW w:type="dxa" w:w="2160"/>
          </w:tcPr>
          <w:p>
            <w:pPr>
              <w:spacing w:after="40"/>
            </w:pPr>
            <w:r>
              <w:rPr>
                <w:sz w:val="18"/>
              </w:rPr>
              <w:t>Claim fingerprints</w:t>
            </w:r>
          </w:p>
        </w:tc>
      </w:tr>
    </w:tbl>
    <w:p>
      <w:pPr>
        <w:spacing w:after="200"/>
      </w:pPr>
      <w:r>
        <w:rPr>
          <w:i/>
          <w:sz w:val="18"/>
        </w:rPr>
        <w:t>Table 23.1. New v6 data; nothing used earlier was re-used for confirmation.</w:t>
      </w:r>
    </w:p>
    <w:p>
      <w:pPr>
        <w:spacing w:after="120"/>
      </w:pPr>
      <w:r>
        <w:t>Power. The generation-4 containment test was sized by simulation from the spent HO7/HO8 rates: 250 flagged instruction roots give power 0.84 under the most pessimistic survival; 265 were obtained.</w:t>
      </w:r>
    </w:p>
    <w:p>
      <w:pPr>
        <w:spacing w:after="120"/>
      </w:pPr>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2"/>
      </w:pPr>
      <w:r>
        <w:t>23.2 Provenance through a real memory system</w:t>
      </w:r>
    </w:p>
    <w:p>
      <w:pPr>
        <w:spacing w:after="120"/>
      </w:pPr>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15" name="Picture 15"/>
            <wp:cNvGraphicFramePr>
              <a:graphicFrameLocks noChangeAspect="1"/>
            </wp:cNvGraphicFramePr>
            <a:graphic>
              <a:graphicData uri="http://schemas.openxmlformats.org/drawingml/2006/picture">
                <pic:pic>
                  <pic:nvPicPr>
                    <pic:cNvPr id="0" name="V1_provenance_mem0.png"/>
                    <pic:cNvPicPr/>
                  </pic:nvPicPr>
                  <pic:blipFill>
                    <a:blip r:embed="rId23"/>
                    <a:stretch>
                      <a:fillRect/>
                    </a:stretch>
                  </pic:blipFill>
                  <pic:spPr>
                    <a:xfrm>
                      <a:off x="0" y="0"/>
                      <a:ext cx="5760720" cy="2800350"/>
                    </a:xfrm>
                    <a:prstGeom prst="rect"/>
                  </pic:spPr>
                </pic:pic>
              </a:graphicData>
            </a:graphic>
          </wp:inline>
        </w:drawing>
      </w:r>
    </w:p>
    <w:p>
      <w:pPr>
        <w:spacing w:after="200"/>
      </w:pPr>
      <w:r>
        <w:rPr>
          <w:i/>
          <w:sz w:val="18"/>
        </w:rPr>
        <w:t>Figure 15. Provenance through Mem0: native metadata against the application-level ledger.</w:t>
      </w:r>
    </w:p>
    <w:p>
      <w:pPr>
        <w:pStyle w:val="Heading2"/>
      </w:pPr>
      <w:r>
        <w:t>23.3 Claim-level provenance and fail-safe lineage (Gap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 (SA-6 eval)</w:t>
            </w:r>
          </w:p>
        </w:tc>
        <w:tc>
          <w:tcPr>
            <w:tcW w:type="dxa" w:w="1728"/>
          </w:tcPr>
          <w:p>
            <w:pPr>
              <w:spacing w:after="40"/>
            </w:pPr>
            <w:r>
              <w:rPr>
                <w:b/>
                <w:sz w:val="18"/>
              </w:rPr>
              <w:t>B13 on stored</w:t>
            </w:r>
          </w:p>
        </w:tc>
        <w:tc>
          <w:tcPr>
            <w:tcW w:type="dxa" w:w="1728"/>
          </w:tcPr>
          <w:p>
            <w:pPr>
              <w:spacing w:after="40"/>
            </w:pPr>
            <w:r>
              <w:rPr>
                <w:b/>
                <w:sz w:val="18"/>
              </w:rPr>
              <w:t>PAB13</w:t>
            </w:r>
          </w:p>
        </w:tc>
        <w:tc>
          <w:tcPr>
            <w:tcW w:type="dxa" w:w="1728"/>
          </w:tcPr>
          <w:p>
            <w:pPr>
              <w:spacing w:after="40"/>
            </w:pPr>
            <w:r>
              <w:rPr>
                <w:b/>
                <w:sz w:val="18"/>
              </w:rPr>
              <w:t>PCL (claim-level)</w:t>
            </w:r>
          </w:p>
        </w:tc>
        <w:tc>
          <w:tcPr>
            <w:tcW w:type="dxa" w:w="1728"/>
          </w:tcPr>
          <w:p>
            <w:pPr>
              <w:spacing w:after="40"/>
            </w:pPr>
            <w:r>
              <w:rPr>
                <w:b/>
                <w:sz w:val="18"/>
              </w:rPr>
              <w:t>Item-level</w:t>
            </w:r>
          </w:p>
        </w:tc>
      </w:tr>
      <w:tr>
        <w:tc>
          <w:tcPr>
            <w:tcW w:type="dxa" w:w="1728"/>
          </w:tcPr>
          <w:p>
            <w:pPr>
              <w:spacing w:after="40"/>
            </w:pPr>
            <w:r>
              <w:rPr>
                <w:sz w:val="18"/>
              </w:rPr>
              <w:t>Explicit attacks, single notes</w:t>
            </w:r>
          </w:p>
        </w:tc>
        <w:tc>
          <w:tcPr>
            <w:tcW w:type="dxa" w:w="1728"/>
          </w:tcPr>
          <w:p>
            <w:pPr>
              <w:spacing w:after="40"/>
            </w:pPr>
            <w:r>
              <w:rPr>
                <w:sz w:val="18"/>
              </w:rPr>
              <w:t>16/48</w:t>
            </w:r>
          </w:p>
        </w:tc>
        <w:tc>
          <w:tcPr>
            <w:tcW w:type="dxa" w:w="1728"/>
          </w:tcPr>
          <w:p>
            <w:pPr>
              <w:spacing w:after="40"/>
            </w:pPr>
            <w:r>
              <w:rPr>
                <w:sz w:val="18"/>
              </w:rPr>
              <w:t>16/48</w:t>
            </w:r>
          </w:p>
        </w:tc>
        <w:tc>
          <w:tcPr>
            <w:tcW w:type="dxa" w:w="1728"/>
          </w:tcPr>
          <w:p>
            <w:pPr>
              <w:spacing w:after="40"/>
            </w:pPr>
            <w:r>
              <w:rPr>
                <w:sz w:val="18"/>
              </w:rPr>
              <w:t>44/48</w:t>
            </w:r>
          </w:p>
        </w:tc>
        <w:tc>
          <w:tcPr>
            <w:tcW w:type="dxa" w:w="1728"/>
          </w:tcPr>
          <w:p>
            <w:pPr>
              <w:spacing w:after="40"/>
            </w:pPr>
            <w:r>
              <w:rPr>
                <w:sz w:val="18"/>
              </w:rPr>
              <w:t>44/48</w:t>
            </w:r>
          </w:p>
        </w:tc>
      </w:tr>
      <w:tr>
        <w:tc>
          <w:tcPr>
            <w:tcW w:type="dxa" w:w="1728"/>
          </w:tcPr>
          <w:p>
            <w:pPr>
              <w:spacing w:after="40"/>
            </w:pPr>
            <w:r>
              <w:rPr>
                <w:sz w:val="18"/>
              </w:rPr>
              <w:t>Explicit attacks, mixed-source documents</w:t>
            </w:r>
          </w:p>
        </w:tc>
        <w:tc>
          <w:tcPr>
            <w:tcW w:type="dxa" w:w="1728"/>
          </w:tcPr>
          <w:p>
            <w:pPr>
              <w:spacing w:after="40"/>
            </w:pPr>
            <w:r>
              <w:rPr>
                <w:sz w:val="18"/>
              </w:rPr>
              <w:t>10/48</w:t>
            </w:r>
          </w:p>
        </w:tc>
        <w:tc>
          <w:tcPr>
            <w:tcW w:type="dxa" w:w="1728"/>
          </w:tcPr>
          <w:p>
            <w:pPr>
              <w:spacing w:after="40"/>
            </w:pPr>
            <w:r>
              <w:rPr>
                <w:sz w:val="18"/>
              </w:rPr>
              <w:t>10/48</w:t>
            </w:r>
          </w:p>
        </w:tc>
        <w:tc>
          <w:tcPr>
            <w:tcW w:type="dxa" w:w="1728"/>
          </w:tcPr>
          <w:p>
            <w:pPr>
              <w:spacing w:after="40"/>
            </w:pPr>
            <w:r>
              <w:rPr>
                <w:sz w:val="18"/>
              </w:rPr>
              <w:t>38/48</w:t>
            </w:r>
          </w:p>
        </w:tc>
        <w:tc>
          <w:tcPr>
            <w:tcW w:type="dxa" w:w="1728"/>
          </w:tcPr>
          <w:p>
            <w:pPr>
              <w:spacing w:after="40"/>
            </w:pPr>
            <w:r>
              <w:rPr>
                <w:sz w:val="18"/>
              </w:rPr>
              <w:t>17/48</w:t>
            </w:r>
          </w:p>
        </w:tc>
      </w:tr>
      <w:tr>
        <w:tc>
          <w:tcPr>
            <w:tcW w:type="dxa" w:w="1728"/>
          </w:tcPr>
          <w:p>
            <w:pPr>
              <w:spacing w:after="40"/>
            </w:pPr>
            <w:r>
              <w:rPr>
                <w:sz w:val="18"/>
              </w:rPr>
              <w:t>Implicit attacks, single notes</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r>
      <w:tr>
        <w:tc>
          <w:tcPr>
            <w:tcW w:type="dxa" w:w="1728"/>
          </w:tcPr>
          <w:p>
            <w:pPr>
              <w:spacing w:after="40"/>
            </w:pPr>
            <w:r>
              <w:rPr>
                <w:sz w:val="18"/>
              </w:rPr>
              <w:t>Ungrounded legitimate rules (pooled)</w:t>
            </w:r>
          </w:p>
        </w:tc>
        <w:tc>
          <w:tcPr>
            <w:tcW w:type="dxa" w:w="1728"/>
          </w:tcPr>
          <w:p>
            <w:pPr>
              <w:spacing w:after="40"/>
            </w:pPr>
            <w:r>
              <w:rPr>
                <w:sz w:val="18"/>
              </w:rPr>
              <w:t>35/144</w:t>
            </w:r>
          </w:p>
        </w:tc>
        <w:tc>
          <w:tcPr>
            <w:tcW w:type="dxa" w:w="1728"/>
          </w:tcPr>
          <w:p>
            <w:pPr>
              <w:spacing w:after="40"/>
            </w:pPr>
            <w:r>
              <w:rPr>
                <w:sz w:val="18"/>
              </w:rPr>
              <w:t>17/144</w:t>
            </w:r>
          </w:p>
        </w:tc>
        <w:tc>
          <w:tcPr>
            <w:tcW w:type="dxa" w:w="1728"/>
          </w:tcPr>
          <w:p>
            <w:pPr>
              <w:spacing w:after="40"/>
            </w:pPr>
            <w:r>
              <w:rPr>
                <w:sz w:val="18"/>
              </w:rPr>
              <w:t>35/144</w:t>
            </w:r>
          </w:p>
        </w:tc>
        <w:tc>
          <w:tcPr>
            <w:tcW w:type="dxa" w:w="1728"/>
          </w:tcPr>
          <w:p>
            <w:pPr>
              <w:spacing w:after="40"/>
            </w:pPr>
            <w:r>
              <w:rPr>
                <w:sz w:val="18"/>
              </w:rPr>
              <w:t>35/144</w:t>
            </w:r>
          </w:p>
        </w:tc>
      </w:tr>
      <w:tr>
        <w:tc>
          <w:tcPr>
            <w:tcW w:type="dxa" w:w="1728"/>
          </w:tcPr>
          <w:p>
            <w:pPr>
              <w:spacing w:after="40"/>
            </w:pPr>
            <w:r>
              <w:rPr>
                <w:sz w:val="18"/>
              </w:rPr>
              <w:t>Grounded legitimate rules</w:t>
            </w:r>
          </w:p>
        </w:tc>
        <w:tc>
          <w:tcPr>
            <w:tcW w:type="dxa" w:w="1728"/>
          </w:tcPr>
          <w:p>
            <w:pPr>
              <w:spacing w:after="40"/>
            </w:pPr>
            <w:r>
              <w:rPr>
                <w:sz w:val="18"/>
              </w:rPr>
              <w:t>0/48</w:t>
            </w:r>
          </w:p>
        </w:tc>
        <w:tc>
          <w:tcPr>
            <w:tcW w:type="dxa" w:w="1728"/>
          </w:tcPr>
          <w:p>
            <w:pPr>
              <w:spacing w:after="40"/>
            </w:pPr>
            <w:r>
              <w:rPr>
                <w:sz w:val="18"/>
              </w:rPr>
              <w:t>0/48</w:t>
            </w:r>
          </w:p>
        </w:tc>
        <w:tc>
          <w:tcPr>
            <w:tcW w:type="dxa" w:w="1728"/>
          </w:tcPr>
          <w:p>
            <w:pPr>
              <w:spacing w:after="40"/>
            </w:pPr>
            <w:r>
              <w:rPr>
                <w:sz w:val="18"/>
              </w:rPr>
              <w:t>3/48</w:t>
            </w:r>
          </w:p>
        </w:tc>
        <w:tc>
          <w:tcPr>
            <w:tcW w:type="dxa" w:w="1728"/>
          </w:tcPr>
          <w:p>
            <w:pPr>
              <w:spacing w:after="40"/>
            </w:pPr>
            <w:r>
              <w:rPr>
                <w:sz w:val="18"/>
              </w:rPr>
              <w:t>3/48</w:t>
            </w:r>
          </w:p>
        </w:tc>
      </w:tr>
      <w:tr>
        <w:tc>
          <w:tcPr>
            <w:tcW w:type="dxa" w:w="1728"/>
          </w:tcPr>
          <w:p>
            <w:pPr>
              <w:spacing w:after="40"/>
            </w:pPr>
            <w:r>
              <w:rPr>
                <w:sz w:val="18"/>
              </w:rPr>
              <w:t>Benign memories in mixed documents</w:t>
            </w:r>
          </w:p>
        </w:tc>
        <w:tc>
          <w:tcPr>
            <w:tcW w:type="dxa" w:w="1728"/>
          </w:tcPr>
          <w:p>
            <w:pPr>
              <w:spacing w:after="40"/>
            </w:pPr>
            <w:r>
              <w:rPr>
                <w:sz w:val="18"/>
              </w:rPr>
              <w:t>78/250</w:t>
            </w:r>
          </w:p>
        </w:tc>
        <w:tc>
          <w:tcPr>
            <w:tcW w:type="dxa" w:w="1728"/>
          </w:tcPr>
          <w:p>
            <w:pPr>
              <w:spacing w:after="40"/>
            </w:pPr>
            <w:r>
              <w:rPr>
                <w:sz w:val="18"/>
              </w:rPr>
              <w:t>78/250</w:t>
            </w:r>
          </w:p>
        </w:tc>
        <w:tc>
          <w:tcPr>
            <w:tcW w:type="dxa" w:w="1728"/>
          </w:tcPr>
          <w:p>
            <w:pPr>
              <w:spacing w:after="40"/>
            </w:pPr>
            <w:r>
              <w:rPr>
                <w:sz w:val="18"/>
              </w:rPr>
              <w:t>118/250</w:t>
            </w:r>
          </w:p>
        </w:tc>
        <w:tc>
          <w:tcPr>
            <w:tcW w:type="dxa" w:w="1728"/>
          </w:tcPr>
          <w:p>
            <w:pPr>
              <w:spacing w:after="40"/>
            </w:pPr>
            <w:r>
              <w:rPr>
                <w:sz w:val="18"/>
              </w:rPr>
              <w:t>106/250</w:t>
            </w:r>
          </w:p>
        </w:tc>
      </w:tr>
    </w:tbl>
    <w:p>
      <w:pPr>
        <w:spacing w:after="200"/>
      </w:pPr>
      <w:r>
        <w:rPr>
          <w:i/>
          <w:sz w:val="18"/>
        </w:rPr>
        <w:t>Table 23.2. Items (or memories) excluded under each Gap-1 policy (SA-6 eval through Mem0).</w:t>
      </w:r>
    </w:p>
    <w:p>
      <w:pPr>
        <w:spacing w:after="120"/>
      </w:pPr>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Corruption</w:t>
            </w:r>
          </w:p>
        </w:tc>
        <w:tc>
          <w:tcPr>
            <w:tcW w:type="dxa" w:w="2160"/>
          </w:tcPr>
          <w:p>
            <w:pPr>
              <w:spacing w:after="40"/>
            </w:pPr>
            <w:r>
              <w:rPr>
                <w:b/>
                <w:sz w:val="18"/>
              </w:rPr>
              <w:t>Benign change, with FLV (points)</w:t>
            </w:r>
          </w:p>
        </w:tc>
        <w:tc>
          <w:tcPr>
            <w:tcW w:type="dxa" w:w="2160"/>
          </w:tcPr>
          <w:p>
            <w:pPr>
              <w:spacing w:after="40"/>
            </w:pPr>
            <w:r>
              <w:rPr>
                <w:b/>
                <w:sz w:val="18"/>
              </w:rPr>
              <w:t>Benign change, naive</w:t>
            </w:r>
          </w:p>
        </w:tc>
        <w:tc>
          <w:tcPr>
            <w:tcW w:type="dxa" w:w="2160"/>
          </w:tcPr>
          <w:p>
            <w:pPr>
              <w:spacing w:after="40"/>
            </w:pPr>
            <w:r>
              <w:rPr>
                <w:b/>
                <w:sz w:val="18"/>
              </w:rPr>
              <w:t>Implicit kept (FLV / naive)</w:t>
            </w:r>
          </w:p>
        </w:tc>
      </w:tr>
      <w:tr>
        <w:tc>
          <w:tcPr>
            <w:tcW w:type="dxa" w:w="2160"/>
          </w:tcPr>
          <w:p>
            <w:pPr>
              <w:spacing w:after="40"/>
            </w:pPr>
            <w:r>
              <w:rPr>
                <w:sz w:val="18"/>
              </w:rPr>
              <w:t>wrong</w:t>
            </w:r>
          </w:p>
        </w:tc>
        <w:tc>
          <w:tcPr>
            <w:tcW w:type="dxa" w:w="2160"/>
          </w:tcPr>
          <w:p>
            <w:pPr>
              <w:spacing w:after="40"/>
            </w:pPr>
            <w:r>
              <w:rPr>
                <w:sz w:val="18"/>
              </w:rPr>
              <w:t>-1.6</w:t>
            </w:r>
          </w:p>
        </w:tc>
        <w:tc>
          <w:tcPr>
            <w:tcW w:type="dxa" w:w="2160"/>
          </w:tcPr>
          <w:p>
            <w:pPr>
              <w:spacing w:after="40"/>
            </w:pPr>
            <w:r>
              <w:rPr>
                <w:sz w:val="18"/>
              </w:rPr>
              <w:t>-3.6</w:t>
            </w:r>
          </w:p>
        </w:tc>
        <w:tc>
          <w:tcPr>
            <w:tcW w:type="dxa" w:w="2160"/>
          </w:tcPr>
          <w:p>
            <w:pPr>
              <w:spacing w:after="40"/>
            </w:pPr>
            <w:r>
              <w:rPr>
                <w:sz w:val="18"/>
              </w:rPr>
              <w:t>31/48 / 25/48</w:t>
            </w:r>
          </w:p>
        </w:tc>
      </w:tr>
      <w:tr>
        <w:tc>
          <w:tcPr>
            <w:tcW w:type="dxa" w:w="2160"/>
          </w:tcPr>
          <w:p>
            <w:pPr>
              <w:spacing w:after="40"/>
            </w:pPr>
            <w:r>
              <w:rPr>
                <w:sz w:val="18"/>
              </w:rPr>
              <w:t>duplicate</w:t>
            </w:r>
          </w:p>
        </w:tc>
        <w:tc>
          <w:tcPr>
            <w:tcW w:type="dxa" w:w="2160"/>
          </w:tcPr>
          <w:p>
            <w:pPr>
              <w:spacing w:after="40"/>
            </w:pPr>
            <w:r>
              <w:rPr>
                <w:sz w:val="18"/>
              </w:rPr>
              <w:t>+0.0</w:t>
            </w:r>
          </w:p>
        </w:tc>
        <w:tc>
          <w:tcPr>
            <w:tcW w:type="dxa" w:w="2160"/>
          </w:tcPr>
          <w:p>
            <w:pPr>
              <w:spacing w:after="40"/>
            </w:pPr>
            <w:r>
              <w:rPr>
                <w:sz w:val="18"/>
              </w:rPr>
              <w:t>+7.3</w:t>
            </w:r>
          </w:p>
        </w:tc>
        <w:tc>
          <w:tcPr>
            <w:tcW w:type="dxa" w:w="2160"/>
          </w:tcPr>
          <w:p>
            <w:pPr>
              <w:spacing w:after="40"/>
            </w:pPr>
            <w:r>
              <w:rPr>
                <w:sz w:val="18"/>
              </w:rPr>
              <w:t>31/48 / 31/48</w:t>
            </w:r>
          </w:p>
        </w:tc>
      </w:tr>
      <w:tr>
        <w:tc>
          <w:tcPr>
            <w:tcW w:type="dxa" w:w="2160"/>
          </w:tcPr>
          <w:p>
            <w:pPr>
              <w:spacing w:after="40"/>
            </w:pPr>
            <w:r>
              <w:rPr>
                <w:sz w:val="18"/>
              </w:rPr>
              <w:t>conflicting</w:t>
            </w:r>
          </w:p>
        </w:tc>
        <w:tc>
          <w:tcPr>
            <w:tcW w:type="dxa" w:w="2160"/>
          </w:tcPr>
          <w:p>
            <w:pPr>
              <w:spacing w:after="40"/>
            </w:pPr>
            <w:r>
              <w:rPr>
                <w:sz w:val="18"/>
              </w:rPr>
              <w:t>-1.6</w:t>
            </w:r>
          </w:p>
        </w:tc>
        <w:tc>
          <w:tcPr>
            <w:tcW w:type="dxa" w:w="2160"/>
          </w:tcPr>
          <w:p>
            <w:pPr>
              <w:spacing w:after="40"/>
            </w:pPr>
            <w:r>
              <w:rPr>
                <w:sz w:val="18"/>
              </w:rPr>
              <w:t>+0.5</w:t>
            </w:r>
          </w:p>
        </w:tc>
        <w:tc>
          <w:tcPr>
            <w:tcW w:type="dxa" w:w="2160"/>
          </w:tcPr>
          <w:p>
            <w:pPr>
              <w:spacing w:after="40"/>
            </w:pPr>
            <w:r>
              <w:rPr>
                <w:sz w:val="18"/>
              </w:rPr>
              <w:t>31/48 / 0/48</w:t>
            </w:r>
          </w:p>
        </w:tc>
      </w:tr>
      <w:tr>
        <w:tc>
          <w:tcPr>
            <w:tcW w:type="dxa" w:w="2160"/>
          </w:tcPr>
          <w:p>
            <w:pPr>
              <w:spacing w:after="40"/>
            </w:pPr>
            <w:r>
              <w:rPr>
                <w:sz w:val="18"/>
              </w:rPr>
              <w:t>missing parent</w:t>
            </w:r>
          </w:p>
        </w:tc>
        <w:tc>
          <w:tcPr>
            <w:tcW w:type="dxa" w:w="2160"/>
          </w:tcPr>
          <w:p>
            <w:pPr>
              <w:spacing w:after="40"/>
            </w:pPr>
            <w:r>
              <w:rPr>
                <w:sz w:val="18"/>
              </w:rPr>
              <w:t>-1.6</w:t>
            </w:r>
          </w:p>
        </w:tc>
        <w:tc>
          <w:tcPr>
            <w:tcW w:type="dxa" w:w="2160"/>
          </w:tcPr>
          <w:p>
            <w:pPr>
              <w:spacing w:after="40"/>
            </w:pPr>
            <w:r>
              <w:rPr>
                <w:sz w:val="18"/>
              </w:rPr>
              <w:t>-1.6</w:t>
            </w:r>
          </w:p>
        </w:tc>
        <w:tc>
          <w:tcPr>
            <w:tcW w:type="dxa" w:w="2160"/>
          </w:tcPr>
          <w:p>
            <w:pPr>
              <w:spacing w:after="40"/>
            </w:pPr>
            <w:r>
              <w:rPr>
                <w:sz w:val="18"/>
              </w:rPr>
              <w:t>31/48 / 31/48</w:t>
            </w:r>
          </w:p>
        </w:tc>
      </w:tr>
      <w:tr>
        <w:tc>
          <w:tcPr>
            <w:tcW w:type="dxa" w:w="2160"/>
          </w:tcPr>
          <w:p>
            <w:pPr>
              <w:spacing w:after="40"/>
            </w:pPr>
            <w:r>
              <w:rPr>
                <w:sz w:val="18"/>
              </w:rPr>
              <w:t>digest mismatch</w:t>
            </w:r>
          </w:p>
        </w:tc>
        <w:tc>
          <w:tcPr>
            <w:tcW w:type="dxa" w:w="2160"/>
          </w:tcPr>
          <w:p>
            <w:pPr>
              <w:spacing w:after="40"/>
            </w:pPr>
            <w:r>
              <w:rPr>
                <w:sz w:val="18"/>
              </w:rPr>
              <w:t>-1.6</w:t>
            </w:r>
          </w:p>
        </w:tc>
        <w:tc>
          <w:tcPr>
            <w:tcW w:type="dxa" w:w="2160"/>
          </w:tcPr>
          <w:p>
            <w:pPr>
              <w:spacing w:after="40"/>
            </w:pPr>
            <w:r>
              <w:rPr>
                <w:sz w:val="18"/>
              </w:rPr>
              <w:t>+0.0</w:t>
            </w:r>
          </w:p>
        </w:tc>
        <w:tc>
          <w:tcPr>
            <w:tcW w:type="dxa" w:w="2160"/>
          </w:tcPr>
          <w:p>
            <w:pPr>
              <w:spacing w:after="40"/>
            </w:pPr>
            <w:r>
              <w:rPr>
                <w:sz w:val="18"/>
              </w:rPr>
              <w:t>31/48 / 31/48</w:t>
            </w:r>
          </w:p>
        </w:tc>
      </w:tr>
    </w:tbl>
    <w:p>
      <w:pPr>
        <w:spacing w:after="200"/>
      </w:pPr>
      <w:r>
        <w:rPr>
          <w:i/>
          <w:sz w:val="18"/>
        </w:rPr>
        <w:t>Table 23.3.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16" name="Picture 16"/>
            <wp:cNvGraphicFramePr>
              <a:graphicFrameLocks noChangeAspect="1"/>
            </wp:cNvGraphicFramePr>
            <a:graphic>
              <a:graphicData uri="http://schemas.openxmlformats.org/drawingml/2006/picture">
                <pic:pic>
                  <pic:nvPicPr>
                    <pic:cNvPr id="0" name="V5_gap1_claim_level.png"/>
                    <pic:cNvPicPr/>
                  </pic:nvPicPr>
                  <pic:blipFill>
                    <a:blip r:embed="rId24"/>
                    <a:stretch>
                      <a:fillRect/>
                    </a:stretch>
                  </pic:blipFill>
                  <pic:spPr>
                    <a:xfrm>
                      <a:off x="0" y="0"/>
                      <a:ext cx="5760720" cy="2048256"/>
                    </a:xfrm>
                    <a:prstGeom prst="rect"/>
                  </pic:spPr>
                </pic:pic>
              </a:graphicData>
            </a:graphic>
          </wp:inline>
        </w:drawing>
      </w:r>
    </w:p>
    <w:p>
      <w:pPr>
        <w:spacing w:after="200"/>
      </w:pPr>
      <w:r>
        <w:rPr>
          <w:i/>
          <w:sz w:val="18"/>
        </w:rPr>
        <w:t>Figure 16. Gap 1: claim-level provenance against B13 on explicit attacks, and the benign cost.</w:t>
      </w:r>
    </w:p>
    <w:p>
      <w:pPr>
        <w:pStyle w:val="Heading2"/>
      </w:pPr>
      <w:r>
        <w:t>23.4 Claim fingerprints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Matcher (FPB eval, 140 roots)</w:t>
            </w:r>
          </w:p>
        </w:tc>
        <w:tc>
          <w:tcPr>
            <w:tcW w:type="dxa" w:w="2160"/>
          </w:tcPr>
          <w:p>
            <w:pPr>
              <w:spacing w:after="40"/>
            </w:pPr>
            <w:r>
              <w:rPr>
                <w:b/>
                <w:sz w:val="18"/>
              </w:rPr>
              <w:t>Recall: payload-carrying</w:t>
            </w:r>
          </w:p>
        </w:tc>
        <w:tc>
          <w:tcPr>
            <w:tcW w:type="dxa" w:w="2160"/>
          </w:tcPr>
          <w:p>
            <w:pPr>
              <w:spacing w:after="40"/>
            </w:pPr>
            <w:r>
              <w:rPr>
                <w:b/>
                <w:sz w:val="18"/>
              </w:rPr>
              <w:t>False match: benign same-subject</w:t>
            </w:r>
          </w:p>
        </w:tc>
        <w:tc>
          <w:tcPr>
            <w:tcW w:type="dxa" w:w="2160"/>
          </w:tcPr>
          <w:p>
            <w:pPr>
              <w:spacing w:after="40"/>
            </w:pPr>
            <w:r>
              <w:rPr>
                <w:b/>
                <w:sz w:val="18"/>
              </w:rPr>
              <w:t>Match: negation / action change</w:t>
            </w:r>
          </w:p>
        </w:tc>
      </w:tr>
      <w:tr>
        <w:tc>
          <w:tcPr>
            <w:tcW w:type="dxa" w:w="2160"/>
          </w:tcPr>
          <w:p>
            <w:pPr>
              <w:spacing w:after="40"/>
            </w:pPr>
            <w:r>
              <w:rPr>
                <w:sz w:val="18"/>
              </w:rPr>
              <w:t>Digest only</w:t>
            </w:r>
          </w:p>
        </w:tc>
        <w:tc>
          <w:tcPr>
            <w:tcW w:type="dxa" w:w="2160"/>
          </w:tcPr>
          <w:p>
            <w:pPr>
              <w:spacing w:after="40"/>
            </w:pPr>
            <w:r>
              <w:rPr>
                <w:sz w:val="18"/>
              </w:rPr>
              <w:t>21.3%</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Similarity only</w:t>
            </w:r>
          </w:p>
        </w:tc>
        <w:tc>
          <w:tcPr>
            <w:tcW w:type="dxa" w:w="2160"/>
          </w:tcPr>
          <w:p>
            <w:pPr>
              <w:spacing w:after="40"/>
            </w:pPr>
            <w:r>
              <w:rPr>
                <w:sz w:val="18"/>
              </w:rPr>
              <w:t>98.9%</w:t>
            </w:r>
          </w:p>
        </w:tc>
        <w:tc>
          <w:tcPr>
            <w:tcW w:type="dxa" w:w="2160"/>
          </w:tcPr>
          <w:p>
            <w:pPr>
              <w:spacing w:after="40"/>
            </w:pPr>
            <w:r>
              <w:rPr>
                <w:sz w:val="18"/>
              </w:rPr>
              <w:t>77.9%</w:t>
            </w:r>
          </w:p>
        </w:tc>
        <w:tc>
          <w:tcPr>
            <w:tcW w:type="dxa" w:w="2160"/>
          </w:tcPr>
          <w:p>
            <w:pPr>
              <w:spacing w:after="40"/>
            </w:pPr>
            <w:r>
              <w:rPr>
                <w:sz w:val="18"/>
              </w:rPr>
              <w:t>97.1%</w:t>
            </w:r>
          </w:p>
        </w:tc>
      </w:tr>
      <w:tr>
        <w:tc>
          <w:tcPr>
            <w:tcW w:type="dxa" w:w="2160"/>
          </w:tcPr>
          <w:p>
            <w:pPr>
              <w:spacing w:after="40"/>
            </w:pPr>
            <w:r>
              <w:rPr>
                <w:sz w:val="18"/>
              </w:rPr>
              <w:t>NLI only</w:t>
            </w:r>
          </w:p>
        </w:tc>
        <w:tc>
          <w:tcPr>
            <w:tcW w:type="dxa" w:w="2160"/>
          </w:tcPr>
          <w:p>
            <w:pPr>
              <w:spacing w:after="40"/>
            </w:pPr>
            <w:r>
              <w:rPr>
                <w:sz w:val="18"/>
              </w:rPr>
              <w:t>89.3%</w:t>
            </w:r>
          </w:p>
        </w:tc>
        <w:tc>
          <w:tcPr>
            <w:tcW w:type="dxa" w:w="2160"/>
          </w:tcPr>
          <w:p>
            <w:pPr>
              <w:spacing w:after="40"/>
            </w:pPr>
            <w:r>
              <w:rPr>
                <w:sz w:val="18"/>
              </w:rPr>
              <w:t>22.1%</w:t>
            </w:r>
          </w:p>
        </w:tc>
        <w:tc>
          <w:tcPr>
            <w:tcW w:type="dxa" w:w="2160"/>
          </w:tcPr>
          <w:p>
            <w:pPr>
              <w:spacing w:after="40"/>
            </w:pPr>
            <w:r>
              <w:rPr>
                <w:sz w:val="18"/>
              </w:rPr>
              <w:t>16.8%</w:t>
            </w:r>
          </w:p>
        </w:tc>
      </w:tr>
      <w:tr>
        <w:tc>
          <w:tcPr>
            <w:tcW w:type="dxa" w:w="2160"/>
          </w:tcPr>
          <w:p>
            <w:pPr>
              <w:spacing w:after="40"/>
            </w:pPr>
            <w:r>
              <w:rPr>
                <w:sz w:val="18"/>
              </w:rPr>
              <w:t>HFP (pre-registered; dev selection failing)</w:t>
            </w:r>
          </w:p>
        </w:tc>
        <w:tc>
          <w:tcPr>
            <w:tcW w:type="dxa" w:w="2160"/>
          </w:tcPr>
          <w:p>
            <w:pPr>
              <w:spacing w:after="40"/>
            </w:pPr>
            <w:r>
              <w:rPr>
                <w:sz w:val="18"/>
              </w:rPr>
              <w:t>95.6%</w:t>
            </w:r>
          </w:p>
        </w:tc>
        <w:tc>
          <w:tcPr>
            <w:tcW w:type="dxa" w:w="2160"/>
          </w:tcPr>
          <w:p>
            <w:pPr>
              <w:spacing w:after="40"/>
            </w:pPr>
            <w:r>
              <w:rPr>
                <w:sz w:val="18"/>
              </w:rPr>
              <w:t>30.7%</w:t>
            </w:r>
          </w:p>
        </w:tc>
        <w:tc>
          <w:tcPr>
            <w:tcW w:type="dxa" w:w="2160"/>
          </w:tcPr>
          <w:p>
            <w:pPr>
              <w:spacing w:after="40"/>
            </w:pPr>
            <w:r>
              <w:rPr>
                <w:sz w:val="18"/>
              </w:rPr>
              <w:t>81.1%</w:t>
            </w:r>
          </w:p>
        </w:tc>
      </w:tr>
      <w:tr>
        <w:tc>
          <w:tcPr>
            <w:tcW w:type="dxa" w:w="2160"/>
          </w:tcPr>
          <w:p>
            <w:pPr>
              <w:spacing w:after="40"/>
            </w:pPr>
            <w:r>
              <w:rPr>
                <w:sz w:val="18"/>
              </w:rPr>
              <w:t>HFP-B (addendum A)</w:t>
            </w:r>
          </w:p>
        </w:tc>
        <w:tc>
          <w:tcPr>
            <w:tcW w:type="dxa" w:w="2160"/>
          </w:tcPr>
          <w:p>
            <w:pPr>
              <w:spacing w:after="40"/>
            </w:pPr>
            <w:r>
              <w:rPr>
                <w:sz w:val="18"/>
              </w:rPr>
              <w:t>92.9%</w:t>
            </w:r>
          </w:p>
        </w:tc>
        <w:tc>
          <w:tcPr>
            <w:tcW w:type="dxa" w:w="2160"/>
          </w:tcPr>
          <w:p>
            <w:pPr>
              <w:spacing w:after="40"/>
            </w:pPr>
            <w:r>
              <w:rPr>
                <w:sz w:val="18"/>
              </w:rPr>
              <w:t>2.1%</w:t>
            </w:r>
          </w:p>
        </w:tc>
        <w:tc>
          <w:tcPr>
            <w:tcW w:type="dxa" w:w="2160"/>
          </w:tcPr>
          <w:p>
            <w:pPr>
              <w:spacing w:after="40"/>
            </w:pPr>
            <w:r>
              <w:rPr>
                <w:sz w:val="18"/>
              </w:rPr>
              <w:t>2.5%</w:t>
            </w:r>
          </w:p>
        </w:tc>
      </w:tr>
    </w:tbl>
    <w:p>
      <w:pPr>
        <w:spacing w:after="200"/>
      </w:pPr>
      <w:r>
        <w:rPr>
          <w:i/>
          <w:sz w:val="18"/>
        </w:rPr>
        <w:t>Table 23.4. Claim fingerprints on held-out transformations.</w:t>
      </w:r>
    </w:p>
    <w:p>
      <w:pPr>
        <w:spacing w:after="120"/>
      </w:pPr>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17" name="Picture 17"/>
            <wp:cNvGraphicFramePr>
              <a:graphicFrameLocks noChangeAspect="1"/>
            </wp:cNvGraphicFramePr>
            <a:graphic>
              <a:graphicData uri="http://schemas.openxmlformats.org/drawingml/2006/picture">
                <pic:pic>
                  <pic:nvPicPr>
                    <pic:cNvPr id="0" name="V2_fingerprints.png"/>
                    <pic:cNvPicPr/>
                  </pic:nvPicPr>
                  <pic:blipFill>
                    <a:blip r:embed="rId25"/>
                    <a:stretch>
                      <a:fillRect/>
                    </a:stretch>
                  </pic:blipFill>
                  <pic:spPr>
                    <a:xfrm>
                      <a:off x="0" y="0"/>
                      <a:ext cx="5760720" cy="2736342"/>
                    </a:xfrm>
                    <a:prstGeom prst="rect"/>
                  </pic:spPr>
                </pic:pic>
              </a:graphicData>
            </a:graphic>
          </wp:inline>
        </w:drawing>
      </w:r>
    </w:p>
    <w:p>
      <w:pPr>
        <w:spacing w:after="200"/>
      </w:pPr>
      <w:r>
        <w:rPr>
          <w:i/>
          <w:sz w:val="18"/>
        </w:rPr>
        <w:t>Figure 17. Claim fingerprints on held-out FPB.</w:t>
      </w:r>
    </w:p>
    <w:p>
      <w:pPr>
        <w:pStyle w:val="Heading2"/>
      </w:pPr>
      <w:r>
        <w:t>23.5 Multi-generation containment on a powered held-out set (Gap 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Unflagged collateral (gen 4)</w:t>
            </w:r>
          </w:p>
        </w:tc>
      </w:tr>
      <w:tr>
        <w:tc>
          <w:tcPr>
            <w:tcW w:type="dxa" w:w="1234"/>
          </w:tcPr>
          <w:p>
            <w:pPr>
              <w:spacing w:after="40"/>
            </w:pPr>
            <w:r>
              <w:rPr>
                <w:sz w:val="18"/>
              </w:rPr>
              <w:t>FG</w:t>
            </w:r>
          </w:p>
        </w:tc>
        <w:tc>
          <w:tcPr>
            <w:tcW w:type="dxa" w:w="1234"/>
          </w:tcPr>
          <w:p>
            <w:pPr>
              <w:spacing w:after="40"/>
            </w:pPr>
            <w:r>
              <w:rPr>
                <w:sz w:val="18"/>
              </w:rPr>
              <w:t>124/158</w:t>
            </w:r>
          </w:p>
        </w:tc>
        <w:tc>
          <w:tcPr>
            <w:tcW w:type="dxa" w:w="1234"/>
          </w:tcPr>
          <w:p>
            <w:pPr>
              <w:spacing w:after="40"/>
            </w:pPr>
            <w:r>
              <w:rPr>
                <w:sz w:val="18"/>
              </w:rPr>
              <w:t>36/107</w:t>
            </w:r>
          </w:p>
        </w:tc>
        <w:tc>
          <w:tcPr>
            <w:tcW w:type="dxa" w:w="1234"/>
          </w:tcPr>
          <w:p>
            <w:pPr>
              <w:spacing w:after="40"/>
            </w:pPr>
            <w:r>
              <w:rPr>
                <w:sz w:val="18"/>
              </w:rPr>
              <w:t>24/82</w:t>
            </w:r>
          </w:p>
        </w:tc>
        <w:tc>
          <w:tcPr>
            <w:tcW w:type="dxa" w:w="1234"/>
          </w:tcPr>
          <w:p>
            <w:pPr>
              <w:spacing w:after="40"/>
            </w:pPr>
            <w:r>
              <w:rPr>
                <w:sz w:val="18"/>
              </w:rPr>
              <w:t>18/73</w:t>
            </w:r>
          </w:p>
        </w:tc>
        <w:tc>
          <w:tcPr>
            <w:tcW w:type="dxa" w:w="1234"/>
          </w:tcPr>
          <w:p>
            <w:pPr>
              <w:spacing w:after="40"/>
            </w:pPr>
            <w:r>
              <w:rPr>
                <w:sz w:val="18"/>
              </w:rPr>
              <w:t>60/640</w:t>
            </w:r>
          </w:p>
        </w:tc>
        <w:tc>
          <w:tcPr>
            <w:tcW w:type="dxa" w:w="1234"/>
          </w:tcPr>
          <w:p>
            <w:pPr>
              <w:spacing w:after="40"/>
            </w:pPr>
            <w:r>
              <w:rPr>
                <w:sz w:val="18"/>
              </w:rPr>
              <w:t>0/80</w:t>
            </w:r>
          </w:p>
        </w:tc>
      </w:tr>
      <w:tr>
        <w:tc>
          <w:tcPr>
            <w:tcW w:type="dxa" w:w="1234"/>
          </w:tcPr>
          <w:p>
            <w:pPr>
              <w:spacing w:after="40"/>
            </w:pPr>
            <w:r>
              <w:rPr>
                <w:sz w:val="18"/>
              </w:rPr>
              <w:t>ND</w:t>
            </w:r>
          </w:p>
        </w:tc>
        <w:tc>
          <w:tcPr>
            <w:tcW w:type="dxa" w:w="1234"/>
          </w:tcPr>
          <w:p>
            <w:pPr>
              <w:spacing w:after="40"/>
            </w:pPr>
            <w:r>
              <w:rPr>
                <w:sz w:val="18"/>
              </w:rPr>
              <w:t>124/158</w:t>
            </w:r>
          </w:p>
        </w:tc>
        <w:tc>
          <w:tcPr>
            <w:tcW w:type="dxa" w:w="1234"/>
          </w:tcPr>
          <w:p>
            <w:pPr>
              <w:spacing w:after="40"/>
            </w:pPr>
            <w:r>
              <w:rPr>
                <w:sz w:val="18"/>
              </w:rPr>
              <w:t>68/107</w:t>
            </w:r>
          </w:p>
        </w:tc>
        <w:tc>
          <w:tcPr>
            <w:tcW w:type="dxa" w:w="1234"/>
          </w:tcPr>
          <w:p>
            <w:pPr>
              <w:spacing w:after="40"/>
            </w:pPr>
            <w:r>
              <w:rPr>
                <w:sz w:val="18"/>
              </w:rPr>
              <w:t>51/82</w:t>
            </w:r>
          </w:p>
        </w:tc>
        <w:tc>
          <w:tcPr>
            <w:tcW w:type="dxa" w:w="1234"/>
          </w:tcPr>
          <w:p>
            <w:pPr>
              <w:spacing w:after="40"/>
            </w:pPr>
            <w:r>
              <w:rPr>
                <w:sz w:val="18"/>
              </w:rPr>
              <w:t>41/73</w:t>
            </w:r>
          </w:p>
        </w:tc>
        <w:tc>
          <w:tcPr>
            <w:tcW w:type="dxa" w:w="1234"/>
          </w:tcPr>
          <w:p>
            <w:pPr>
              <w:spacing w:after="40"/>
            </w:pPr>
            <w:r>
              <w:rPr>
                <w:sz w:val="18"/>
              </w:rPr>
              <w:t>94/640</w:t>
            </w:r>
          </w:p>
        </w:tc>
        <w:tc>
          <w:tcPr>
            <w:tcW w:type="dxa" w:w="1234"/>
          </w:tcPr>
          <w:p>
            <w:pPr>
              <w:spacing w:after="40"/>
            </w:pPr>
            <w:r>
              <w:rPr>
                <w:sz w:val="18"/>
              </w:rPr>
              <w:t>0/80</w:t>
            </w:r>
          </w:p>
        </w:tc>
      </w:tr>
      <w:tr>
        <w:tc>
          <w:tcPr>
            <w:tcW w:type="dxa" w:w="1234"/>
          </w:tcPr>
          <w:p>
            <w:pPr>
              <w:spacing w:after="40"/>
            </w:pPr>
            <w:r>
              <w:rPr>
                <w:sz w:val="18"/>
              </w:rPr>
              <w:t>RCL</w:t>
            </w:r>
          </w:p>
        </w:tc>
        <w:tc>
          <w:tcPr>
            <w:tcW w:type="dxa" w:w="1234"/>
          </w:tcPr>
          <w:p>
            <w:pPr>
              <w:spacing w:after="40"/>
            </w:pPr>
            <w:r>
              <w:rPr>
                <w:sz w:val="18"/>
              </w:rPr>
              <w:t>124/158</w:t>
            </w:r>
          </w:p>
        </w:tc>
        <w:tc>
          <w:tcPr>
            <w:tcW w:type="dxa" w:w="1234"/>
          </w:tcPr>
          <w:p>
            <w:pPr>
              <w:spacing w:after="40"/>
            </w:pPr>
            <w:r>
              <w:rPr>
                <w:sz w:val="18"/>
              </w:rPr>
              <w:t>64/107</w:t>
            </w:r>
          </w:p>
        </w:tc>
        <w:tc>
          <w:tcPr>
            <w:tcW w:type="dxa" w:w="1234"/>
          </w:tcPr>
          <w:p>
            <w:pPr>
              <w:spacing w:after="40"/>
            </w:pPr>
            <w:r>
              <w:rPr>
                <w:sz w:val="18"/>
              </w:rPr>
              <w:t>41/82</w:t>
            </w:r>
          </w:p>
        </w:tc>
        <w:tc>
          <w:tcPr>
            <w:tcW w:type="dxa" w:w="1234"/>
          </w:tcPr>
          <w:p>
            <w:pPr>
              <w:spacing w:after="40"/>
            </w:pPr>
            <w:r>
              <w:rPr>
                <w:sz w:val="18"/>
              </w:rPr>
              <w:t>33/73</w:t>
            </w:r>
          </w:p>
        </w:tc>
        <w:tc>
          <w:tcPr>
            <w:tcW w:type="dxa" w:w="1234"/>
          </w:tcPr>
          <w:p>
            <w:pPr>
              <w:spacing w:after="40"/>
            </w:pPr>
            <w:r>
              <w:rPr>
                <w:sz w:val="18"/>
              </w:rPr>
              <w:t>74/640</w:t>
            </w:r>
          </w:p>
        </w:tc>
        <w:tc>
          <w:tcPr>
            <w:tcW w:type="dxa" w:w="1234"/>
          </w:tcPr>
          <w:p>
            <w:pPr>
              <w:spacing w:after="40"/>
            </w:pPr>
            <w:r>
              <w:rPr>
                <w:sz w:val="18"/>
              </w:rPr>
              <w:t>0/80</w:t>
            </w:r>
          </w:p>
        </w:tc>
      </w:tr>
      <w:tr>
        <w:tc>
          <w:tcPr>
            <w:tcW w:type="dxa" w:w="1234"/>
          </w:tcPr>
          <w:p>
            <w:pPr>
              <w:spacing w:after="40"/>
            </w:pPr>
            <w:r>
              <w:rPr>
                <w:sz w:val="18"/>
              </w:rPr>
              <w:t>CTC</w:t>
            </w:r>
          </w:p>
        </w:tc>
        <w:tc>
          <w:tcPr>
            <w:tcW w:type="dxa" w:w="1234"/>
          </w:tcPr>
          <w:p>
            <w:pPr>
              <w:spacing w:after="40"/>
            </w:pPr>
            <w:r>
              <w:rPr>
                <w:sz w:val="18"/>
              </w:rPr>
              <w:t>109/158</w:t>
            </w:r>
          </w:p>
        </w:tc>
        <w:tc>
          <w:tcPr>
            <w:tcW w:type="dxa" w:w="1234"/>
          </w:tcPr>
          <w:p>
            <w:pPr>
              <w:spacing w:after="40"/>
            </w:pPr>
            <w:r>
              <w:rPr>
                <w:sz w:val="18"/>
              </w:rPr>
              <w:t>64/107</w:t>
            </w:r>
          </w:p>
        </w:tc>
        <w:tc>
          <w:tcPr>
            <w:tcW w:type="dxa" w:w="1234"/>
          </w:tcPr>
          <w:p>
            <w:pPr>
              <w:spacing w:after="40"/>
            </w:pPr>
            <w:r>
              <w:rPr>
                <w:sz w:val="18"/>
              </w:rPr>
              <w:t>52/82</w:t>
            </w:r>
          </w:p>
        </w:tc>
        <w:tc>
          <w:tcPr>
            <w:tcW w:type="dxa" w:w="1234"/>
          </w:tcPr>
          <w:p>
            <w:pPr>
              <w:spacing w:after="40"/>
            </w:pPr>
            <w:r>
              <w:rPr>
                <w:sz w:val="18"/>
              </w:rPr>
              <w:t>42/73</w:t>
            </w:r>
          </w:p>
        </w:tc>
        <w:tc>
          <w:tcPr>
            <w:tcW w:type="dxa" w:w="1234"/>
          </w:tcPr>
          <w:p>
            <w:pPr>
              <w:spacing w:after="40"/>
            </w:pPr>
            <w:r>
              <w:rPr>
                <w:sz w:val="18"/>
              </w:rPr>
              <w:t>185/640</w:t>
            </w:r>
          </w:p>
        </w:tc>
        <w:tc>
          <w:tcPr>
            <w:tcW w:type="dxa" w:w="1234"/>
          </w:tcPr>
          <w:p>
            <w:pPr>
              <w:spacing w:after="40"/>
            </w:pPr>
            <w:r>
              <w:rPr>
                <w:sz w:val="18"/>
              </w:rPr>
              <w:t>0/80</w:t>
            </w:r>
          </w:p>
        </w:tc>
      </w:tr>
      <w:tr>
        <w:tc>
          <w:tcPr>
            <w:tcW w:type="dxa" w:w="1234"/>
          </w:tcPr>
          <w:p>
            <w:pPr>
              <w:spacing w:after="40"/>
            </w:pPr>
            <w:r>
              <w:rPr>
                <w:sz w:val="18"/>
              </w:rPr>
              <w:t>PRC</w:t>
            </w:r>
          </w:p>
        </w:tc>
        <w:tc>
          <w:tcPr>
            <w:tcW w:type="dxa" w:w="1234"/>
          </w:tcPr>
          <w:p>
            <w:pPr>
              <w:spacing w:after="40"/>
            </w:pPr>
            <w:r>
              <w:rPr>
                <w:sz w:val="18"/>
              </w:rPr>
              <w:t>110/158</w:t>
            </w:r>
          </w:p>
        </w:tc>
        <w:tc>
          <w:tcPr>
            <w:tcW w:type="dxa" w:w="1234"/>
          </w:tcPr>
          <w:p>
            <w:pPr>
              <w:spacing w:after="40"/>
            </w:pPr>
            <w:r>
              <w:rPr>
                <w:sz w:val="18"/>
              </w:rPr>
              <w:t>64/107</w:t>
            </w:r>
          </w:p>
        </w:tc>
        <w:tc>
          <w:tcPr>
            <w:tcW w:type="dxa" w:w="1234"/>
          </w:tcPr>
          <w:p>
            <w:pPr>
              <w:spacing w:after="40"/>
            </w:pPr>
            <w:r>
              <w:rPr>
                <w:sz w:val="18"/>
              </w:rPr>
              <w:t>53/82</w:t>
            </w:r>
          </w:p>
        </w:tc>
        <w:tc>
          <w:tcPr>
            <w:tcW w:type="dxa" w:w="1234"/>
          </w:tcPr>
          <w:p>
            <w:pPr>
              <w:spacing w:after="40"/>
            </w:pPr>
            <w:r>
              <w:rPr>
                <w:sz w:val="18"/>
              </w:rPr>
              <w:t>43/73</w:t>
            </w:r>
          </w:p>
        </w:tc>
        <w:tc>
          <w:tcPr>
            <w:tcW w:type="dxa" w:w="1234"/>
          </w:tcPr>
          <w:p>
            <w:pPr>
              <w:spacing w:after="40"/>
            </w:pPr>
            <w:r>
              <w:rPr>
                <w:sz w:val="18"/>
              </w:rPr>
              <w:t>188/640</w:t>
            </w:r>
          </w:p>
        </w:tc>
        <w:tc>
          <w:tcPr>
            <w:tcW w:type="dxa" w:w="1234"/>
          </w:tcPr>
          <w:p>
            <w:pPr>
              <w:spacing w:after="40"/>
            </w:pPr>
            <w:r>
              <w:rPr>
                <w:sz w:val="18"/>
              </w:rPr>
              <w:t>0/80</w:t>
            </w:r>
          </w:p>
        </w:tc>
      </w:tr>
      <w:tr>
        <w:tc>
          <w:tcPr>
            <w:tcW w:type="dxa" w:w="1234"/>
          </w:tcPr>
          <w:p>
            <w:pPr>
              <w:spacing w:after="40"/>
            </w:pPr>
            <w:r>
              <w:rPr>
                <w:sz w:val="18"/>
              </w:rPr>
              <w:t>RAR</w:t>
            </w:r>
          </w:p>
        </w:tc>
        <w:tc>
          <w:tcPr>
            <w:tcW w:type="dxa" w:w="1234"/>
          </w:tcPr>
          <w:p>
            <w:pPr>
              <w:spacing w:after="40"/>
            </w:pPr>
            <w:r>
              <w:rPr>
                <w:sz w:val="18"/>
              </w:rPr>
              <w:t>67/158</w:t>
            </w:r>
          </w:p>
        </w:tc>
        <w:tc>
          <w:tcPr>
            <w:tcW w:type="dxa" w:w="1234"/>
          </w:tcPr>
          <w:p>
            <w:pPr>
              <w:spacing w:after="40"/>
            </w:pPr>
            <w:r>
              <w:rPr>
                <w:sz w:val="18"/>
              </w:rPr>
              <w:t>26/107</w:t>
            </w:r>
          </w:p>
        </w:tc>
        <w:tc>
          <w:tcPr>
            <w:tcW w:type="dxa" w:w="1234"/>
          </w:tcPr>
          <w:p>
            <w:pPr>
              <w:spacing w:after="40"/>
            </w:pPr>
            <w:r>
              <w:rPr>
                <w:sz w:val="18"/>
              </w:rPr>
              <w:t>17/82</w:t>
            </w:r>
          </w:p>
        </w:tc>
        <w:tc>
          <w:tcPr>
            <w:tcW w:type="dxa" w:w="1234"/>
          </w:tcPr>
          <w:p>
            <w:pPr>
              <w:spacing w:after="40"/>
            </w:pPr>
            <w:r>
              <w:rPr>
                <w:sz w:val="18"/>
              </w:rPr>
              <w:t>14/73</w:t>
            </w:r>
          </w:p>
        </w:tc>
        <w:tc>
          <w:tcPr>
            <w:tcW w:type="dxa" w:w="1234"/>
          </w:tcPr>
          <w:p>
            <w:pPr>
              <w:spacing w:after="40"/>
            </w:pPr>
            <w:r>
              <w:rPr>
                <w:sz w:val="18"/>
              </w:rPr>
              <w:t>19/640</w:t>
            </w:r>
          </w:p>
        </w:tc>
        <w:tc>
          <w:tcPr>
            <w:tcW w:type="dxa" w:w="1234"/>
          </w:tcPr>
          <w:p>
            <w:pPr>
              <w:spacing w:after="40"/>
            </w:pPr>
            <w:r>
              <w:rPr>
                <w:sz w:val="18"/>
              </w:rPr>
              <w:t>0/80</w:t>
            </w:r>
          </w:p>
        </w:tc>
      </w:tr>
      <w:tr>
        <w:tc>
          <w:tcPr>
            <w:tcW w:type="dxa" w:w="1234"/>
          </w:tcPr>
          <w:p>
            <w:pPr>
              <w:spacing w:after="40"/>
            </w:pPr>
            <w:r>
              <w:rPr>
                <w:sz w:val="18"/>
              </w:rPr>
              <w:t>RAR-B</w:t>
            </w:r>
          </w:p>
        </w:tc>
        <w:tc>
          <w:tcPr>
            <w:tcW w:type="dxa" w:w="1234"/>
          </w:tcPr>
          <w:p>
            <w:pPr>
              <w:spacing w:after="40"/>
            </w:pPr>
            <w:r>
              <w:rPr>
                <w:sz w:val="18"/>
              </w:rPr>
              <w:t>66/158</w:t>
            </w:r>
          </w:p>
        </w:tc>
        <w:tc>
          <w:tcPr>
            <w:tcW w:type="dxa" w:w="1234"/>
          </w:tcPr>
          <w:p>
            <w:pPr>
              <w:spacing w:after="40"/>
            </w:pPr>
            <w:r>
              <w:rPr>
                <w:sz w:val="18"/>
              </w:rPr>
              <w:t>27/107</w:t>
            </w:r>
          </w:p>
        </w:tc>
        <w:tc>
          <w:tcPr>
            <w:tcW w:type="dxa" w:w="1234"/>
          </w:tcPr>
          <w:p>
            <w:pPr>
              <w:spacing w:after="40"/>
            </w:pPr>
            <w:r>
              <w:rPr>
                <w:sz w:val="18"/>
              </w:rPr>
              <w:t>24/82</w:t>
            </w:r>
          </w:p>
        </w:tc>
        <w:tc>
          <w:tcPr>
            <w:tcW w:type="dxa" w:w="1234"/>
          </w:tcPr>
          <w:p>
            <w:pPr>
              <w:spacing w:after="40"/>
            </w:pPr>
            <w:r>
              <w:rPr>
                <w:sz w:val="18"/>
              </w:rPr>
              <w:t>15/73</w:t>
            </w:r>
          </w:p>
        </w:tc>
        <w:tc>
          <w:tcPr>
            <w:tcW w:type="dxa" w:w="1234"/>
          </w:tcPr>
          <w:p>
            <w:pPr>
              <w:spacing w:after="40"/>
            </w:pPr>
            <w:r>
              <w:rPr>
                <w:sz w:val="18"/>
              </w:rPr>
              <w:t>19/640</w:t>
            </w:r>
          </w:p>
        </w:tc>
        <w:tc>
          <w:tcPr>
            <w:tcW w:type="dxa" w:w="1234"/>
          </w:tcPr>
          <w:p>
            <w:pPr>
              <w:spacing w:after="40"/>
            </w:pPr>
            <w:r>
              <w:rPr>
                <w:sz w:val="18"/>
              </w:rPr>
              <w:t>0/80</w:t>
            </w:r>
          </w:p>
        </w:tc>
      </w:tr>
    </w:tbl>
    <w:p>
      <w:pPr>
        <w:spacing w:after="200"/>
      </w:pPr>
      <w:r>
        <w:rPr>
          <w:i/>
          <w:sz w:val="18"/>
        </w:rPr>
        <w:t>Table 23.5. HO9 instruction payloads: payload-carrying descendants withheld (265 flagged roots).</w:t>
      </w:r>
    </w:p>
    <w:p>
      <w:pPr>
        <w:spacing w:after="120"/>
      </w:pPr>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18" name="Picture 18"/>
            <wp:cNvGraphicFramePr>
              <a:graphicFrameLocks noChangeAspect="1"/>
            </wp:cNvGraphicFramePr>
            <a:graphic>
              <a:graphicData uri="http://schemas.openxmlformats.org/drawingml/2006/picture">
                <pic:pic>
                  <pic:nvPicPr>
                    <pic:cNvPr id="0" name="V3_containment_ho9.png"/>
                    <pic:cNvPicPr/>
                  </pic:nvPicPr>
                  <pic:blipFill>
                    <a:blip r:embed="rId26"/>
                    <a:stretch>
                      <a:fillRect/>
                    </a:stretch>
                  </pic:blipFill>
                  <pic:spPr>
                    <a:xfrm>
                      <a:off x="0" y="0"/>
                      <a:ext cx="5760720" cy="2958208"/>
                    </a:xfrm>
                    <a:prstGeom prst="rect"/>
                  </pic:spPr>
                </pic:pic>
              </a:graphicData>
            </a:graphic>
          </wp:inline>
        </w:drawing>
      </w:r>
    </w:p>
    <w:p>
      <w:pPr>
        <w:spacing w:after="200"/>
      </w:pPr>
      <w:r>
        <w:rPr>
          <w:i/>
          <w:sz w:val="18"/>
        </w:rPr>
        <w:t>Figure 18. Containment across generations on HO9 instruction payloads.</w:t>
      </w:r>
    </w:p>
    <w:p>
      <w:pPr>
        <w:pStyle w:val="Heading2"/>
      </w:pPr>
      <w:r>
        <w:t>23.6 Lineage recovery after metadata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Condition</w:t>
            </w:r>
          </w:p>
        </w:tc>
        <w:tc>
          <w:tcPr>
            <w:tcW w:type="dxa" w:w="2160"/>
          </w:tcPr>
          <w:p>
            <w:pPr>
              <w:spacing w:after="40"/>
            </w:pPr>
            <w:r>
              <w:rPr>
                <w:b/>
                <w:sz w:val="18"/>
              </w:rPr>
              <w:t>Root recovered</w:t>
            </w:r>
          </w:p>
        </w:tc>
        <w:tc>
          <w:tcPr>
            <w:tcW w:type="dxa" w:w="2160"/>
          </w:tcPr>
          <w:p>
            <w:pPr>
              <w:spacing w:after="40"/>
            </w:pPr>
            <w:r>
              <w:rPr>
                <w:b/>
                <w:sz w:val="18"/>
              </w:rPr>
              <w:t>Owner memories falsely associated</w:t>
            </w:r>
          </w:p>
        </w:tc>
        <w:tc>
          <w:tcPr>
            <w:tcW w:type="dxa" w:w="2160"/>
          </w:tcPr>
          <w:p>
            <w:pPr>
              <w:spacing w:after="40"/>
            </w:pPr>
            <w:r>
              <w:rPr>
                <w:b/>
                <w:sz w:val="18"/>
              </w:rPr>
              <w:t>Unflagged descendants falsely associated</w:t>
            </w:r>
          </w:p>
        </w:tc>
      </w:tr>
      <w:tr>
        <w:tc>
          <w:tcPr>
            <w:tcW w:type="dxa" w:w="2160"/>
          </w:tcPr>
          <w:p>
            <w:pPr>
              <w:spacing w:after="40"/>
            </w:pPr>
            <w:r>
              <w:rPr>
                <w:sz w:val="18"/>
              </w:rPr>
              <w:t>A lineage present</w:t>
            </w:r>
          </w:p>
        </w:tc>
        <w:tc>
          <w:tcPr>
            <w:tcW w:type="dxa" w:w="2160"/>
          </w:tcPr>
          <w:p>
            <w:pPr>
              <w:spacing w:after="40"/>
            </w:pPr>
            <w:r>
              <w:rPr>
                <w:sz w:val="18"/>
              </w:rPr>
              <w:t>n/a</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B never persisted (write-time taint)</w:t>
            </w:r>
          </w:p>
        </w:tc>
        <w:tc>
          <w:tcPr>
            <w:tcW w:type="dxa" w:w="2160"/>
          </w:tcPr>
          <w:p>
            <w:pPr>
              <w:spacing w:after="40"/>
            </w:pPr>
            <w:r>
              <w:rPr>
                <w:sz w:val="18"/>
              </w:rPr>
              <w:t>equal to A: 296/296</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C1 deleted, append-only log intact</w:t>
            </w:r>
          </w:p>
        </w:tc>
        <w:tc>
          <w:tcPr>
            <w:tcW w:type="dxa" w:w="2160"/>
          </w:tcPr>
          <w:p>
            <w:pPr>
              <w:spacing w:after="40"/>
            </w:pPr>
            <w:r>
              <w:rPr>
                <w:sz w:val="18"/>
              </w:rPr>
              <w:t>296/296</w:t>
            </w:r>
          </w:p>
        </w:tc>
        <w:tc>
          <w:tcPr>
            <w:tcW w:type="dxa" w:w="2160"/>
          </w:tcPr>
          <w:p>
            <w:pPr>
              <w:spacing w:after="40"/>
            </w:pPr>
            <w:r>
              <w:rPr>
                <w:sz w:val="18"/>
              </w:rPr>
              <w:t>0/416</w:t>
            </w:r>
          </w:p>
        </w:tc>
        <w:tc>
          <w:tcPr>
            <w:tcW w:type="dxa" w:w="2160"/>
          </w:tcPr>
          <w:p>
            <w:pPr>
              <w:spacing w:after="40"/>
            </w:pPr>
            <w:r>
              <w:rPr>
                <w:sz w:val="18"/>
              </w:rPr>
              <w:t>0/320</w:t>
            </w:r>
          </w:p>
        </w:tc>
      </w:tr>
      <w:tr>
        <w:tc>
          <w:tcPr>
            <w:tcW w:type="dxa" w:w="2160"/>
          </w:tcPr>
          <w:p>
            <w:pPr>
              <w:spacing w:after="40"/>
            </w:pPr>
            <w:r>
              <w:rPr>
                <w:sz w:val="18"/>
              </w:rPr>
              <w:t>C2 deleted then rewritten (simulation)</w:t>
            </w:r>
          </w:p>
        </w:tc>
        <w:tc>
          <w:tcPr>
            <w:tcW w:type="dxa" w:w="2160"/>
          </w:tcPr>
          <w:p>
            <w:pPr>
              <w:spacing w:after="40"/>
            </w:pPr>
            <w:r>
              <w:rPr>
                <w:sz w:val="18"/>
              </w:rPr>
              <w:t>295/296</w:t>
            </w:r>
          </w:p>
        </w:tc>
        <w:tc>
          <w:tcPr>
            <w:tcW w:type="dxa" w:w="2160"/>
          </w:tcPr>
          <w:p>
            <w:pPr>
              <w:spacing w:after="40"/>
            </w:pPr>
            <w:r>
              <w:rPr>
                <w:sz w:val="18"/>
              </w:rPr>
              <w:t>317/416</w:t>
            </w:r>
          </w:p>
        </w:tc>
        <w:tc>
          <w:tcPr>
            <w:tcW w:type="dxa" w:w="2160"/>
          </w:tcPr>
          <w:p>
            <w:pPr>
              <w:spacing w:after="40"/>
            </w:pPr>
            <w:r>
              <w:rPr>
                <w:sz w:val="18"/>
              </w:rPr>
              <w:t>307/320</w:t>
            </w:r>
          </w:p>
        </w:tc>
      </w:tr>
      <w:tr>
        <w:tc>
          <w:tcPr>
            <w:tcW w:type="dxa" w:w="2160"/>
          </w:tcPr>
          <w:p>
            <w:pPr>
              <w:spacing w:after="40"/>
            </w:pPr>
            <w:r>
              <w:rPr>
                <w:sz w:val="18"/>
              </w:rPr>
              <w:t>C3 total loss (reference)</w:t>
            </w:r>
          </w:p>
        </w:tc>
        <w:tc>
          <w:tcPr>
            <w:tcW w:type="dxa" w:w="2160"/>
          </w:tcPr>
          <w:p>
            <w:pPr>
              <w:spacing w:after="40"/>
            </w:pPr>
            <w:r>
              <w:rPr>
                <w:sz w:val="18"/>
              </w:rPr>
              <w:t>22/296</w:t>
            </w:r>
          </w:p>
        </w:tc>
        <w:tc>
          <w:tcPr>
            <w:tcW w:type="dxa" w:w="2160"/>
          </w:tcPr>
          <w:p>
            <w:pPr>
              <w:spacing w:after="40"/>
            </w:pPr>
            <w:r>
              <w:rPr>
                <w:sz w:val="18"/>
              </w:rPr>
              <w:t>2/416 withheld</w:t>
            </w:r>
          </w:p>
        </w:tc>
        <w:tc>
          <w:tcPr>
            <w:tcW w:type="dxa" w:w="2160"/>
          </w:tcPr>
          <w:p>
            <w:pPr>
              <w:spacing w:after="40"/>
            </w:pPr>
            <w:r>
              <w:rPr>
                <w:sz w:val="18"/>
              </w:rPr>
              <w:t>16/320 withheld</w:t>
            </w:r>
          </w:p>
        </w:tc>
      </w:tr>
    </w:tbl>
    <w:p>
      <w:pPr>
        <w:spacing w:after="200"/>
      </w:pPr>
      <w:r>
        <w:rPr>
          <w:i/>
          <w:sz w:val="18"/>
        </w:rPr>
        <w:t>Table 23.6. Lineage recovery on HO9 (296 flagged attack chains); conditions are never pooled.</w:t>
      </w:r>
    </w:p>
    <w:p>
      <w:pPr>
        <w:spacing w:after="120"/>
      </w:pPr>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19" name="Picture 19"/>
            <wp:cNvGraphicFramePr>
              <a:graphicFrameLocks noChangeAspect="1"/>
            </wp:cNvGraphicFramePr>
            <a:graphic>
              <a:graphicData uri="http://schemas.openxmlformats.org/drawingml/2006/picture">
                <pic:pic>
                  <pic:nvPicPr>
                    <pic:cNvPr id="0" name="V4_lineage_recovery.png"/>
                    <pic:cNvPicPr/>
                  </pic:nvPicPr>
                  <pic:blipFill>
                    <a:blip r:embed="rId27"/>
                    <a:stretch>
                      <a:fillRect/>
                    </a:stretch>
                  </pic:blipFill>
                  <pic:spPr>
                    <a:xfrm>
                      <a:off x="0" y="0"/>
                      <a:ext cx="5760720" cy="2674620"/>
                    </a:xfrm>
                    <a:prstGeom prst="rect"/>
                  </pic:spPr>
                </pic:pic>
              </a:graphicData>
            </a:graphic>
          </wp:inline>
        </w:drawing>
      </w:r>
    </w:p>
    <w:p>
      <w:pPr>
        <w:spacing w:after="200"/>
      </w:pPr>
      <w:r>
        <w:rPr>
          <w:i/>
          <w:sz w:val="18"/>
        </w:rPr>
        <w:t>Figure 19. Lineage recovery conditions.</w:t>
      </w:r>
    </w:p>
    <w:p>
      <w:pPr>
        <w:pStyle w:val="Heading2"/>
      </w:pPr>
      <w:r>
        <w:t>23.7 Implicit sleepers: the information boundary and a two-stage defence (Gap 3)</w:t>
      </w:r>
    </w:p>
    <w:p>
      <w:pPr>
        <w:spacing w:after="120"/>
      </w:pPr>
      <w:r>
        <w:t>Selection on SA-6 dev: no content detector on raw text met the limits alone (best N1&amp;INTENT_v1); the deployable operating point frozen on dev is D_original_record (untrusted channel AND the detector on the preserved original record).</w:t>
      </w:r>
    </w:p>
    <w:p>
      <w:pPr>
        <w:spacing w:after="120"/>
      </w:pPr>
      <w:r>
        <w:t>In progress: the held-out sleeper behaviour runs (two-stage defence, counterfactual activation) were still running when this section was generated; no Gap-3 held-out result is stated here.</w:t>
      </w:r>
    </w:p>
    <w:p>
      <w:pPr>
        <w:pStyle w:val="Heading2"/>
      </w:pPr>
      <w:r>
        <w:t>23.8 Integration, ablation and closure</w:t>
      </w:r>
    </w:p>
    <w:p>
      <w:pPr>
        <w:spacing w:after="120"/>
      </w:pPr>
      <w:r>
        <w:t>In progress: integration and ablation depend on the Gap-3 behaviour runs.</w:t>
      </w:r>
    </w:p>
    <w:p>
      <w:pPr>
        <w:spacing w:after="120"/>
      </w:pPr>
      <w:r>
        <w:t>In progress: closure is scored after the Gap-3 results under the frozen rubric; until then the v5 scores stand (Gap 1 59%, Gap 2 65%, Gap 3 29%).</w:t>
      </w:r>
    </w:p>
    <w:p>
      <w:r>
        <w:drawing>
          <wp:inline xmlns:a="http://schemas.openxmlformats.org/drawingml/2006/main" xmlns:pic="http://schemas.openxmlformats.org/drawingml/2006/picture">
            <wp:extent cx="5760720" cy="1555394"/>
            <wp:docPr id="20" name="Picture 20"/>
            <wp:cNvGraphicFramePr>
              <a:graphicFrameLocks noChangeAspect="1"/>
            </wp:cNvGraphicFramePr>
            <a:graphic>
              <a:graphicData uri="http://schemas.openxmlformats.org/drawingml/2006/picture">
                <pic:pic>
                  <pic:nvPicPr>
                    <pic:cNvPr id="0" name="V9_architecture_v6.png"/>
                    <pic:cNvPicPr/>
                  </pic:nvPicPr>
                  <pic:blipFill>
                    <a:blip r:embed="rId28"/>
                    <a:stretch>
                      <a:fillRect/>
                    </a:stretch>
                  </pic:blipFill>
                  <pic:spPr>
                    <a:xfrm>
                      <a:off x="0" y="0"/>
                      <a:ext cx="5760720" cy="1555394"/>
                    </a:xfrm>
                    <a:prstGeom prst="rect"/>
                  </pic:spPr>
                </pic:pic>
              </a:graphicData>
            </a:graphic>
          </wp:inline>
        </w:drawing>
      </w:r>
    </w:p>
    <w:p>
      <w:pPr>
        <w:spacing w:after="200"/>
      </w:pPr>
      <w:r>
        <w:rPr>
          <w:i/>
          <w:sz w:val="18"/>
        </w:rPr>
        <w:t>Figure 20. The v6 defence architecture with each component's evaluated status.</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FINAL_DEFENCE_BASELINE_AUDIT.md §3)</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Provenance ledger (PL) and source union</w:t>
            </w:r>
          </w:p>
        </w:tc>
        <w:tc>
          <w:tcPr>
            <w:tcW w:type="dxa" w:w="2880"/>
          </w:tcPr>
          <w:p>
            <w:pPr>
              <w:spacing w:after="40"/>
            </w:pPr>
            <w:r>
              <w:rPr>
                <w:sz w:val="18"/>
              </w:rPr>
              <w:t>per add: event e = (id, channel, principal [unverified], sha256(original), original, cond. parse);  per returned memory m: link(m, e, text-at-write);  srcs(m) = all events ever linked to m;  untrusted(m) = srcs(m) = {} or any channel != user</w:t>
            </w:r>
          </w:p>
        </w:tc>
        <w:tc>
          <w:tcPr>
            <w:tcW w:type="dxa" w:w="2880"/>
          </w:tcPr>
          <w:p>
            <w:pPr>
              <w:spacing w:after="40"/>
            </w:pPr>
            <w:r>
              <w:rPr>
                <w:sz w:val="18"/>
              </w:rPr>
              <w:t>phase17/defence_v6/ledger.py</w:t>
            </w:r>
          </w:p>
        </w:tc>
      </w:tr>
      <w:tr>
        <w:tc>
          <w:tcPr>
            <w:tcW w:type="dxa" w:w="2880"/>
          </w:tcPr>
          <w:p>
            <w:pPr>
              <w:spacing w:after="40"/>
            </w:pPr>
            <w:r>
              <w:rPr>
                <w:sz w:val="18"/>
              </w:rPr>
              <w:t>Fail-safe lineage validation (FLV)</w:t>
            </w:r>
          </w:p>
        </w:tc>
        <w:tc>
          <w:tcPr>
            <w:tcW w:type="dxa" w:w="2880"/>
          </w:tcPr>
          <w:p>
            <w:pPr>
              <w:spacing w:after="40"/>
            </w:pPr>
            <w:r>
              <w:rPr>
                <w:sz w:val="18"/>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880"/>
          </w:tcPr>
          <w:p>
            <w:pPr>
              <w:spacing w:after="40"/>
            </w:pPr>
            <w:r>
              <w:rPr>
                <w:sz w:val="18"/>
              </w:rPr>
              <w:t>phase17/defence_v6/g1_eval.py: _valid_link</w:t>
            </w:r>
          </w:p>
        </w:tc>
      </w:tr>
      <w:tr>
        <w:tc>
          <w:tcPr>
            <w:tcW w:type="dxa" w:w="2880"/>
          </w:tcPr>
          <w:p>
            <w:pPr>
              <w:spacing w:after="40"/>
            </w:pPr>
            <w:r>
              <w:rPr>
                <w:sz w:val="18"/>
              </w:rPr>
              <w:t>Claim-level provenance (CLP), PAB13 and PCL</w:t>
            </w:r>
          </w:p>
        </w:tc>
        <w:tc>
          <w:tcPr>
            <w:tcW w:type="dxa" w:w="2880"/>
          </w:tcPr>
          <w:p>
            <w:pPr>
              <w:spacing w:after="40"/>
            </w:pPr>
            <w:r>
              <w:rPr>
                <w:sz w:val="18"/>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880"/>
          </w:tcPr>
          <w:p>
            <w:pPr>
              <w:spacing w:after="40"/>
            </w:pPr>
            <w:r>
              <w:rPr>
                <w:sz w:val="18"/>
              </w:rPr>
              <w:t>phase17/defence_v6/g1_eval.py: clp, arms_for</w:t>
            </w:r>
          </w:p>
        </w:tc>
      </w:tr>
      <w:tr>
        <w:tc>
          <w:tcPr>
            <w:tcW w:type="dxa" w:w="2880"/>
          </w:tcPr>
          <w:p>
            <w:pPr>
              <w:spacing w:after="40"/>
            </w:pPr>
            <w:r>
              <w:rPr>
                <w:sz w:val="18"/>
              </w:rPr>
              <w:t>Entailment-led claim fingerprint (HFP-B)</w:t>
            </w:r>
          </w:p>
        </w:tc>
        <w:tc>
          <w:tcPr>
            <w:tcW w:type="dxa" w:w="2880"/>
          </w:tcPr>
          <w:p>
            <w:pPr>
              <w:spacing w:after="40"/>
            </w:pPr>
            <w:r>
              <w:rPr>
                <w:sz w:val="18"/>
              </w:rPr>
              <w:t>carry(d, r) = exact(canon d, canon r) OR [sem(d, r) &gt;= 0.30 AND (NLI(d -&gt; r) &gt;= 0.2 OR NLI(r -&gt; d) &gt;= 0.9)]  (dev-selected; no semantic-only branch);  canon = lowercase alphanumerics</w:t>
            </w:r>
          </w:p>
        </w:tc>
        <w:tc>
          <w:tcPr>
            <w:tcW w:type="dxa" w:w="2880"/>
          </w:tcPr>
          <w:p>
            <w:pPr>
              <w:spacing w:after="40"/>
            </w:pPr>
            <w:r>
              <w:rPr>
                <w:sz w:val="18"/>
              </w:rPr>
              <w:t>phase17/defence_v6/fpb.py: hfp_b</w:t>
            </w:r>
          </w:p>
        </w:tc>
      </w:tr>
      <w:tr>
        <w:tc>
          <w:tcPr>
            <w:tcW w:type="dxa" w:w="2880"/>
          </w:tcPr>
          <w:p>
            <w:pPr>
              <w:spacing w:after="40"/>
            </w:pPr>
            <w:r>
              <w:rPr>
                <w:sz w:val="18"/>
              </w:rPr>
              <w:t>Root-anchored risk (RAR) and no-decay guard (ND)</w:t>
            </w:r>
          </w:p>
        </w:tc>
        <w:tc>
          <w:tcPr>
            <w:tcW w:type="dxa" w:w="2880"/>
          </w:tcPr>
          <w:p>
            <w:pPr>
              <w:spacing w:after="40"/>
            </w:pPr>
            <w:r>
              <w:rPr>
                <w:sz w:val="18"/>
              </w:rPr>
              <w:t>RAR: withhold d iff state(root) = QUARANTINED AND carry(d, root);  ND: max_a SEVERITY(a) * ret(d, a) (the frozen guard without the 0.5^(dist-1) factor)</w:t>
            </w:r>
          </w:p>
        </w:tc>
        <w:tc>
          <w:tcPr>
            <w:tcW w:type="dxa" w:w="2880"/>
          </w:tcPr>
          <w:p>
            <w:pPr>
              <w:spacing w:after="40"/>
            </w:pPr>
            <w:r>
              <w:rPr>
                <w:sz w:val="18"/>
              </w:rPr>
              <w:t>phase17/defence_v6/g2_eval.py</w:t>
            </w:r>
          </w:p>
        </w:tc>
      </w:tr>
      <w:tr>
        <w:tc>
          <w:tcPr>
            <w:tcW w:type="dxa" w:w="2880"/>
          </w:tcPr>
          <w:p>
            <w:pPr>
              <w:spacing w:after="40"/>
            </w:pPr>
            <w:r>
              <w:rPr>
                <w:sz w:val="18"/>
              </w:rPr>
              <w:t>Lineage recovery after deletion</w:t>
            </w:r>
          </w:p>
        </w:tc>
        <w:tc>
          <w:tcPr>
            <w:tcW w:type="dxa" w:w="2880"/>
          </w:tcPr>
          <w:p>
            <w:pPr>
              <w:spacing w:after="40"/>
            </w:pPr>
            <w:r>
              <w:rPr>
                <w:sz w:val="18"/>
              </w:rPr>
              <w:t>C1: root(m) = log[sha256(canon text(m))] (append-only taint log);  C2: root(m) = roots of logged outputs o with carry(m, o);  C3: roots r with carry(m, r);  false association = owner memory or unflagged descendant attached to a flagged root</w:t>
            </w:r>
          </w:p>
        </w:tc>
        <w:tc>
          <w:tcPr>
            <w:tcW w:type="dxa" w:w="2880"/>
          </w:tcPr>
          <w:p>
            <w:pPr>
              <w:spacing w:after="40"/>
            </w:pPr>
            <w:r>
              <w:rPr>
                <w:sz w:val="18"/>
              </w:rPr>
              <w:t>phase17/defence_v6/g2_eval.py: recovery</w:t>
            </w:r>
          </w:p>
        </w:tc>
      </w:tr>
      <w:tr>
        <w:tc>
          <w:tcPr>
            <w:tcW w:type="dxa" w:w="2880"/>
          </w:tcPr>
          <w:p>
            <w:pPr>
              <w:spacing w:after="40"/>
            </w:pPr>
            <w:r>
              <w:rPr>
                <w:sz w:val="18"/>
              </w:rPr>
              <w:t>Information-boundary conditions (Gap 3)</w:t>
            </w:r>
          </w:p>
        </w:tc>
        <w:tc>
          <w:tcPr>
            <w:tcW w:type="dxa" w:w="2880"/>
          </w:tcPr>
          <w:p>
            <w:pPr>
              <w:spacing w:after="40"/>
            </w:pPr>
            <w:r>
              <w:rPr>
                <w:sz w:val="18"/>
              </w:rPr>
              <w:t>A: K(raw);  B: K(stored);  C: untrusted;  D: untrusted AND K(original record by event id);  E: untrusted AND K(record linked by sem &gt;= 0.490);  F: untrusted AND ACT(trigger, stored) AND NOT ACT(trigger, clean);  K = N1 AND INTENT_v1 (dev)</w:t>
            </w:r>
          </w:p>
        </w:tc>
        <w:tc>
          <w:tcPr>
            <w:tcW w:type="dxa" w:w="2880"/>
          </w:tcPr>
          <w:p>
            <w:pPr>
              <w:spacing w:after="40"/>
            </w:pPr>
            <w:r>
              <w:rPr>
                <w:sz w:val="18"/>
              </w:rPr>
              <w:t>phase17/defence_v6/g3_eval.py: _conditions</w:t>
            </w:r>
          </w:p>
        </w:tc>
      </w:tr>
      <w:tr>
        <w:tc>
          <w:tcPr>
            <w:tcW w:type="dxa" w:w="2880"/>
          </w:tcPr>
          <w:p>
            <w:pPr>
              <w:spacing w:after="40"/>
            </w:pPr>
            <w:r>
              <w:rPr>
                <w:sz w:val="18"/>
              </w:rPr>
              <w:t>Two-stage sleeper defence (TS)</w:t>
            </w:r>
          </w:p>
        </w:tc>
        <w:tc>
          <w:tcPr>
            <w:tcW w:type="dxa" w:w="2880"/>
          </w:tcPr>
          <w:p>
            <w:pPr>
              <w:spacing w:after="40"/>
            </w:pPr>
            <w:r>
              <w:rPr>
                <w:sz w:val="18"/>
              </w:rPr>
              <w:t>stage 1: keep original rule + channel + conditional parse;  stage 2: if untrusted(m) AND conditional(original): context(m) = F2 frame + 'Original source (channel, unverified): ' + original;  else unchanged</w:t>
            </w:r>
          </w:p>
        </w:tc>
        <w:tc>
          <w:tcPr>
            <w:tcW w:type="dxa" w:w="2880"/>
          </w:tcPr>
          <w:p>
            <w:pPr>
              <w:spacing w:after="40"/>
            </w:pPr>
            <w:r>
              <w:rPr>
                <w:sz w:val="18"/>
              </w:rPr>
              <w:t>phase17/defence_v6/g3_eval.py: _arms</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Power by simulation (v6)</w:t>
            </w:r>
          </w:p>
        </w:tc>
        <w:tc>
          <w:tcPr>
            <w:tcW w:type="dxa" w:w="2880"/>
          </w:tcPr>
          <w:p>
            <w:pPr>
              <w:spacing w:after="40"/>
            </w:pPr>
            <w:r>
              <w:rPr>
                <w:sz w:val="18"/>
              </w:rPr>
              <w:t>per root: carry ~ Bern(q), discordant | carry ~ Bern(d), win | discordant ~ Bern(w);  power = P(b + c &gt;= 6 AND b &gt; c AND exact McNemar p &lt; 0.05), 20,000 replicates, seed 2026</w:t>
            </w:r>
          </w:p>
        </w:tc>
        <w:tc>
          <w:tcPr>
            <w:tcW w:type="dxa" w:w="2880"/>
          </w:tcPr>
          <w:p>
            <w:pPr>
              <w:spacing w:after="40"/>
            </w:pPr>
            <w:r>
              <w:rPr>
                <w:sz w:val="18"/>
              </w:rPr>
              <w:t>phase17/defence_v6/power.py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