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which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(17/20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is therefore the noise floor, and no difference smaller than that is claimed anywhere in this document.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accepting its denial-of-service surface deliberately (Section 9 and the radius sweep).</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radius sweep</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17/20 held, verdict CALIBRATED. Failures stay in the table.</w:t>
      </w:r>
    </w:p>
    <w:p>
      <w:pPr>
        <w:pStyle w:val="Heading2"/>
      </w:pPr>
      <w:r>
        <w:t>12A. Round 7 in One Paragraph</w:t>
      </w:r>
    </w:p>
    <w:p>
      <w:pPr>
        <w:spacing w:after="120"/>
      </w:pPr>
      <w:r>
        <w:t>Round 7 tested this project's own claims against data built to break them. Of 20 pre-registered predictions 17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