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n/a</w:t>
            </w:r>
          </w:p>
        </w:tc>
        <w:tc>
          <w:tcPr>
            <w:tcW w:type="dxa" w:w="1872"/>
          </w:tcPr>
          <w:p>
            <w:r>
              <w:t>64.4%</w:t>
            </w:r>
          </w:p>
        </w:tc>
        <w:tc>
          <w:tcPr>
            <w:tcW w:type="dxa" w:w="1872"/>
          </w:tcPr>
          <w:p>
            <w:r>
              <w:t>None/1054</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r>
        <w:t>(4) RETRY-CAPABLE attackers: compose the chosen configuration with the rejection ledger, accepting its denial-of-service surface deliberately (Section 9 and the radius sweep).</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