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five separate rounds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41124"/>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41124"/>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five rounds of fixes,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5395967"/>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5395967"/>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2"/>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2"/>
                    </a:xfrm>
                    <a:prstGeom prst="rect"/>
                  </pic:spPr>
                </pic:pic>
              </a:graphicData>
            </a:graphic>
          </wp:inline>
        </w:drawing>
      </w:r>
    </w:p>
    <w:p>
      <w:r>
        <w:t>Figure 17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51460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514600"/>
                    </a:xfrm>
                    <a:prstGeom prst="rect"/>
                  </pic:spPr>
                </pic:pic>
              </a:graphicData>
            </a:graphic>
          </wp:inline>
        </w:drawing>
      </w:r>
    </w:p>
    <w:p>
      <w:pPr>
        <w:jc w:val="center"/>
      </w:pPr>
      <w:r>
        <w:t>Figure 20 - Real 3-arm agentic harm study, final numbers.</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n/a</w:t>
            </w:r>
          </w:p>
        </w:tc>
        <w:tc>
          <w:tcPr>
            <w:tcW w:type="dxa" w:w="1872"/>
          </w:tcPr>
          <w:p>
            <w:r>
              <w:t>64.4%</w:t>
            </w:r>
          </w:p>
        </w:tc>
        <w:tc>
          <w:tcPr>
            <w:tcW w:type="dxa" w:w="1872"/>
          </w:tcPr>
          <w:p>
            <w:r>
              <w:t>None/1054</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