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2026-10-12): hold-out 3 was retired after seven uses and hold-outs 4-7 and hold-out 8 (a fifth, scored once) were frozen and scored once under committed predictions (39/47 held). Provenance reaches memory poisoning on three independent hold-outs (B13 vs B14: 50.3% vs 20.4%; 54.3% vs 29.5%; 73.8% vs 43.1% on hold-out 8, p=5e-14) and a generalized union of provenance and an embedding-anomaly signal beats every single detector across attack types; the 55% false-positive regime was one corpus; B17, not B18, is recommended for injection-shaped text; corroboration is brittle to an adaptive attacker alone (22/48) but not behind the rejection ledger (5/48).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pPr/>
      <w:r>
        <w:t>Veness, J., et al. "Gated Linear Networks." AAAI 2021 (arXiv:1910.01526) - CITATION NEEDS VERIFICATION of the full author list. Implemented from scratch as the online-learning (GLN) component of the Phase 11 GNN-GLN hybrid (phase11/gln/).</w:t>
      </w:r>
    </w:p>
    <w:p>
      <w:pPr/>
      <w:r>
        <w:t>Yi, J., et al. "Benchmarking and Defending Against Indirect Prompt Injection Attacks on Large Language Models" (BIPIA), 2023 (arXiv:2312.14197) - CITATION NEEDS VERIFICATION of the full author list and identifier. One of the external injection corpora from which Phase 17's injection-shaped attack texts were drawn (with MINJA, AgentPoison, InjecAgent and AgentDojo).</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r>
        <w:t xml:space="preserve">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r>
        <w:t xml:space="preserve">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w:t>
      </w:r>
      <w:r>
        <w:t xml:space="preserve">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phase17/stats.py: noise_floor_points</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2"/>
      </w:pPr>
      <w:r>
        <w:t>32.63 Standard of Evidence</w:t>
      </w:r>
    </w:p>
    <w:p>
      <w:pPr/>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