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five separate rounds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41124"/>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41124"/>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five rounds of fixes,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5395967"/>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5395967"/>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2"/>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2"/>
                    </a:xfrm>
                    <a:prstGeom prst="rect"/>
                  </pic:spPr>
                </pic:pic>
              </a:graphicData>
            </a:graphic>
          </wp:inline>
        </w:drawing>
      </w:r>
    </w:p>
    <w:p>
      <w:r>
        <w:t>Figure 17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51460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514600"/>
                    </a:xfrm>
                    <a:prstGeom prst="rect"/>
                  </pic:spPr>
                </pic:pic>
              </a:graphicData>
            </a:graphic>
          </wp:inline>
        </w:drawing>
      </w:r>
    </w:p>
    <w:p>
      <w:pPr>
        <w:jc w:val="center"/>
      </w:pPr>
      <w:r>
        <w:t>Figure 20 - Real 3-arm agentic harm study, final numbers.</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n/a</w:t>
            </w:r>
          </w:p>
        </w:tc>
        <w:tc>
          <w:tcPr>
            <w:tcW w:type="dxa" w:w="1872"/>
          </w:tcPr>
          <w:p>
            <w:r>
              <w:t>64.4%</w:t>
            </w:r>
          </w:p>
        </w:tc>
        <w:tc>
          <w:tcPr>
            <w:tcW w:type="dxa" w:w="1872"/>
          </w:tcPr>
          <w:p>
            <w:r>
              <w:t>None/1054</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r>
        <w:t>(4) RETRY-CAPABLE attackers: compose the chosen configuration with the rejection ledger, accepting its denial-of-service surface deliberately (Section 9 and the radius sweep).</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