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five separate rounds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41124"/>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41124"/>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five rounds of fixes,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remains built and tested but not evaluated.]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5395967"/>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5395967"/>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2"/>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2"/>
                    </a:xfrm>
                    <a:prstGeom prst="rect"/>
                  </pic:spPr>
                </pic:pic>
              </a:graphicData>
            </a:graphic>
          </wp:inline>
        </w:drawing>
      </w:r>
    </w:p>
    <w:p>
      <w:r>
        <w:t>Figure 17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51460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514600"/>
                    </a:xfrm>
                    <a:prstGeom prst="rect"/>
                  </pic:spPr>
                </pic:pic>
              </a:graphicData>
            </a:graphic>
          </wp:inline>
        </w:drawing>
      </w:r>
    </w:p>
    <w:p>
      <w:pPr>
        <w:jc w:val="center"/>
      </w:pPr>
      <w:r>
        <w:t>Figure 20 - Real 3-arm agentic harm study, final numbers.</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r>
        <w:t xml:space="preserve">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51.2% (derived, round 7)</w:t>
            </w:r>
          </w:p>
        </w:tc>
        <w:tc>
          <w:tcPr>
            <w:tcW w:type="dxa" w:w="1872"/>
          </w:tcPr>
          <w:p>
            <w:r>
              <w:t>64.4%</w:t>
            </w:r>
          </w:p>
        </w:tc>
        <w:tc>
          <w:tcPr>
            <w:tcW w:type="dxa" w:w="1872"/>
          </w:tcPr>
          <w:p>
            <w:r>
              <w:t>1/1054 (derived, round 7)</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r>
        <w:t xml:space="preserve">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w:t>
      </w:r>
      <w:r>
        <w:t xml:space="preserve"> [Measured under pre-registration addendum 4: B13 + evidence + ledger@0.95 was evaded on 5/48 seeds against 22/48 without the ledger (exact McNemar p=7.6e-05; L-1 HELD, L-2 HELD).]</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r>
        <w:t xml:space="preserve"> [Updated by hold-outs 6 and 7: for injection-shaped text use B17, not B18 -- B18's deberta hard rule cost 16.3% false positives on hold-out 6 and excluded 4.9% of the user's own words on hold-out 7, because it ignores channel trust.]</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r>
        <w:t xml:space="preserve"> [All 120 dev items: Gemini 44.2% -&gt; 11.7% against qwen 50.8% -&gt; 30.0% under the frame.]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r>
        <w:t xml:space="preserve"> [Measured: re-judged on identical answers by the judge adopted against held-back human labels, undefended harm is 58.3% rather than 32.0% on all 309 items (paired p=6e-18); B13's reduction holds under both judges on the 120-item stratum scored so far (Section 32.60).]</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2"/>
      </w:pPr>
      <w:r>
        <w:t>32.59 Hold-Outs 6 and 7: a Replication, a Powered Re-Test, and Two Defects of B18</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HO6 recall</w:t>
            </w:r>
          </w:p>
        </w:tc>
        <w:tc>
          <w:tcPr>
            <w:tcW w:type="dxa" w:w="1872"/>
          </w:tcPr>
          <w:p>
            <w:r>
              <w:rPr>
                <w:b/>
              </w:rPr>
              <w:t>HO6 matched-benign FPR</w:t>
            </w:r>
          </w:p>
        </w:tc>
        <w:tc>
          <w:tcPr>
            <w:tcW w:type="dxa" w:w="1872"/>
          </w:tcPr>
          <w:p>
            <w:r>
              <w:rPr>
                <w:b/>
              </w:rPr>
              <w:t>HO7 recall</w:t>
            </w:r>
          </w:p>
        </w:tc>
        <w:tc>
          <w:tcPr>
            <w:tcW w:type="dxa" w:w="1872"/>
          </w:tcPr>
          <w:p>
            <w:r>
              <w:rPr>
                <w:b/>
              </w:rPr>
              <w:t>HO7 benign FPR untrusted / user_turn</w:t>
            </w:r>
          </w:p>
        </w:tc>
      </w:tr>
      <w:tr>
        <w:tc>
          <w:tcPr>
            <w:tcW w:type="dxa" w:w="1872"/>
          </w:tcPr>
          <w:p>
            <w:r>
              <w:t>B12</w:t>
            </w:r>
          </w:p>
        </w:tc>
        <w:tc>
          <w:tcPr>
            <w:tcW w:type="dxa" w:w="1872"/>
          </w:tcPr>
          <w:p>
            <w:r>
              <w:t>33.8%</w:t>
            </w:r>
          </w:p>
        </w:tc>
        <w:tc>
          <w:tcPr>
            <w:tcW w:type="dxa" w:w="1872"/>
          </w:tcPr>
          <w:p>
            <w:r>
              <w:t>0.1%</w:t>
            </w:r>
          </w:p>
        </w:tc>
        <w:tc>
          <w:tcPr>
            <w:tcW w:type="dxa" w:w="1872"/>
          </w:tcPr>
          <w:p>
            <w:r>
              <w:t>37.2%</w:t>
            </w:r>
          </w:p>
        </w:tc>
        <w:tc>
          <w:tcPr>
            <w:tcW w:type="dxa" w:w="1872"/>
          </w:tcPr>
          <w:p>
            <w:r>
              <w:t>4.2% / 4.2%</w:t>
            </w:r>
          </w:p>
        </w:tc>
      </w:tr>
      <w:tr>
        <w:tc>
          <w:tcPr>
            <w:tcW w:type="dxa" w:w="1872"/>
          </w:tcPr>
          <w:p>
            <w:r>
              <w:t>B13</w:t>
            </w:r>
          </w:p>
        </w:tc>
        <w:tc>
          <w:tcPr>
            <w:tcW w:type="dxa" w:w="1872"/>
          </w:tcPr>
          <w:p>
            <w:r>
              <w:t>37.2%</w:t>
            </w:r>
          </w:p>
        </w:tc>
        <w:tc>
          <w:tcPr>
            <w:tcW w:type="dxa" w:w="1872"/>
          </w:tcPr>
          <w:p>
            <w:r>
              <w:t>0.1%</w:t>
            </w:r>
          </w:p>
        </w:tc>
        <w:tc>
          <w:tcPr>
            <w:tcW w:type="dxa" w:w="1872"/>
          </w:tcPr>
          <w:p>
            <w:r>
              <w:t>54.3%</w:t>
            </w:r>
          </w:p>
        </w:tc>
        <w:tc>
          <w:tcPr>
            <w:tcW w:type="dxa" w:w="1872"/>
          </w:tcPr>
          <w:p>
            <w:r>
              <w:t>15.3% / 0.0%</w:t>
            </w:r>
          </w:p>
        </w:tc>
      </w:tr>
      <w:tr>
        <w:tc>
          <w:tcPr>
            <w:tcW w:type="dxa" w:w="1872"/>
          </w:tcPr>
          <w:p>
            <w:r>
              <w:t>B14</w:t>
            </w:r>
          </w:p>
        </w:tc>
        <w:tc>
          <w:tcPr>
            <w:tcW w:type="dxa" w:w="1872"/>
          </w:tcPr>
          <w:p>
            <w:r>
              <w:t>77.4%</w:t>
            </w:r>
          </w:p>
        </w:tc>
        <w:tc>
          <w:tcPr>
            <w:tcW w:type="dxa" w:w="1872"/>
          </w:tcPr>
          <w:p>
            <w:r>
              <w:t>2.1%</w:t>
            </w:r>
          </w:p>
        </w:tc>
        <w:tc>
          <w:tcPr>
            <w:tcW w:type="dxa" w:w="1872"/>
          </w:tcPr>
          <w:p>
            <w:r>
              <w:t>29.5%</w:t>
            </w:r>
          </w:p>
        </w:tc>
        <w:tc>
          <w:tcPr>
            <w:tcW w:type="dxa" w:w="1872"/>
          </w:tcPr>
          <w:p>
            <w:r>
              <w:t>13.8% / 0.0%</w:t>
            </w:r>
          </w:p>
        </w:tc>
      </w:tr>
      <w:tr>
        <w:tc>
          <w:tcPr>
            <w:tcW w:type="dxa" w:w="1872"/>
          </w:tcPr>
          <w:p>
            <w:r>
              <w:t>B15</w:t>
            </w:r>
          </w:p>
        </w:tc>
        <w:tc>
          <w:tcPr>
            <w:tcW w:type="dxa" w:w="1872"/>
          </w:tcPr>
          <w:p>
            <w:r>
              <w:t>67.4%</w:t>
            </w:r>
          </w:p>
        </w:tc>
        <w:tc>
          <w:tcPr>
            <w:tcW w:type="dxa" w:w="1872"/>
          </w:tcPr>
          <w:p>
            <w:r>
              <w:t>0.2%</w:t>
            </w:r>
          </w:p>
        </w:tc>
        <w:tc>
          <w:tcPr>
            <w:tcW w:type="dxa" w:w="1872"/>
          </w:tcPr>
          <w:p>
            <w:r>
              <w:t>38.8%</w:t>
            </w:r>
          </w:p>
        </w:tc>
        <w:tc>
          <w:tcPr>
            <w:tcW w:type="dxa" w:w="1872"/>
          </w:tcPr>
          <w:p>
            <w:r>
              <w:t>19.0% / 0.0%</w:t>
            </w:r>
          </w:p>
        </w:tc>
      </w:tr>
      <w:tr>
        <w:tc>
          <w:tcPr>
            <w:tcW w:type="dxa" w:w="1872"/>
          </w:tcPr>
          <w:p>
            <w:r>
              <w:t>B17</w:t>
            </w:r>
          </w:p>
        </w:tc>
        <w:tc>
          <w:tcPr>
            <w:tcW w:type="dxa" w:w="1872"/>
          </w:tcPr>
          <w:p>
            <w:r>
              <w:t>77.6%</w:t>
            </w:r>
          </w:p>
        </w:tc>
        <w:tc>
          <w:tcPr>
            <w:tcW w:type="dxa" w:w="1872"/>
          </w:tcPr>
          <w:p>
            <w:r>
              <w:t>2.2%</w:t>
            </w:r>
          </w:p>
        </w:tc>
        <w:tc>
          <w:tcPr>
            <w:tcW w:type="dxa" w:w="1872"/>
          </w:tcPr>
          <w:p>
            <w:r>
              <w:t>56.6%</w:t>
            </w:r>
          </w:p>
        </w:tc>
        <w:tc>
          <w:tcPr>
            <w:tcW w:type="dxa" w:w="1872"/>
          </w:tcPr>
          <w:p>
            <w:r>
              <w:t>22.8% / 0.0%</w:t>
            </w:r>
          </w:p>
        </w:tc>
      </w:tr>
      <w:tr>
        <w:tc>
          <w:tcPr>
            <w:tcW w:type="dxa" w:w="1872"/>
          </w:tcPr>
          <w:p>
            <w:r>
              <w:t>B18</w:t>
            </w:r>
          </w:p>
        </w:tc>
        <w:tc>
          <w:tcPr>
            <w:tcW w:type="dxa" w:w="1872"/>
          </w:tcPr>
          <w:p>
            <w:r>
              <w:t>98.6%</w:t>
            </w:r>
          </w:p>
        </w:tc>
        <w:tc>
          <w:tcPr>
            <w:tcW w:type="dxa" w:w="1872"/>
          </w:tcPr>
          <w:p>
            <w:r>
              <w:t>16.3%</w:t>
            </w:r>
          </w:p>
        </w:tc>
        <w:tc>
          <w:tcPr>
            <w:tcW w:type="dxa" w:w="1872"/>
          </w:tcPr>
          <w:p>
            <w:r>
              <w:t>57.4%</w:t>
            </w:r>
          </w:p>
        </w:tc>
        <w:tc>
          <w:tcPr>
            <w:tcW w:type="dxa" w:w="1872"/>
          </w:tcPr>
          <w:p>
            <w:r>
              <w:t>22.8% / 3.7%</w:t>
            </w:r>
          </w:p>
        </w:tc>
      </w:tr>
    </w:tbl>
    <w:p>
      <w:pPr/>
    </w:p>
    <w:p>
      <w:pPr/>
      <w:r>
        <w:t>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w:t>
      </w:r>
    </w:p>
    <w:p>
      <w:pPr>
        <w:pStyle w:val="Heading2"/>
      </w:pPr>
      <w:r>
        <w:t>32.60 The Last Measurements: Utility Cost, Adaptive Evasion, Re-Judged Harm, Stronger Agent</w:t>
      </w:r>
    </w:p>
    <w:p>
      <w:pPr/>
      <w:r>
        <w:t>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w:t>
      </w:r>
    </w:p>
    <w:p>
      <w:pPr>
        <w:pStyle w:val="Heading2"/>
      </w:pPr>
      <w:r>
        <w:t>32.61 Phase 10's Risk-Weighted Retrieval Ranking, Evaluated</w:t>
      </w:r>
    </w:p>
    <w:p>
      <w:pPr/>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FAILED: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Risk-weighted monitoring is not evaluated: it orders a human's forensic queue and has no outcome this benchmark measures.</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r>
        <w:t xml:space="preserve"> [Round 7, final: four hold-outs were scored once each and 31/37 pre-registered predictions held (one more does not survive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32.59-32.60).]</w:t>
      </w:r>
      <w:r>
        <w:t xml:space="preserve"> [Round 7, final: four hold-outs were scored once each and 34/41 pre-registered predictions held (one more does not survive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32.59-32.60).]</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