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56"/>
          <w:szCs w:val="56"/>
        </w:rPr>
        <w:t xml:space="preserve">Autonomous AI Infrastructure</w:t>
      </w:r>
    </w:p>
    <w:p>
      <w:pPr>
        <w:spacing w:after="100"/>
        <w:jc w:val="center"/>
      </w:pPr>
      <w:r>
        <w:rPr>
          <w:color w:val="444444"/>
          <w:sz w:val="32"/>
          <w:szCs w:val="32"/>
        </w:rPr>
        <w:t xml:space="preserve">Comprehensive Project Record</w:t>
      </w:r>
    </w:p>
    <w:p>
      <w:pPr>
        <w:spacing w:after="600"/>
        <w:jc w:val="center"/>
      </w:pPr>
      <w:r>
        <w:rPr>
          <w:i/>
          <w:iCs/>
          <w:color w:val="666666"/>
          <w:sz w:val="22"/>
          <w:szCs w:val="22"/>
        </w:rPr>
        <w:t xml:space="preserve">A single reference consolidating 56 phase documents, the Phase 4/5 audit, and the closed-loop implementation delivered in this session</w:t>
      </w:r>
    </w:p>
    <w:p>
      <w:pPr>
        <w:jc w:val="center"/>
      </w:pPr>
      <w:r>
        <w:rPr>
          <w:color w:val="888888"/>
          <w:sz w:val="20"/>
          <w:szCs w:val="20"/>
        </w:rPr>
        <w:t xml:space="preserve">Compiled 2026-08-23</w:t>
      </w:r>
    </w:p>
    <w:p>
      <w:r>
        <w:br w:type="page"/>
      </w:r>
    </w:p>
    <w:p>
      <w:pPr>
        <w:pStyle w:val="Heading1"/>
        <w:spacing w:after="140" w:before="280"/>
      </w:pPr>
      <w:r>
        <w:t xml:space="preserve">How to read this document</w:t>
      </w:r>
    </w:p>
    <w:p>
      <w:pPr>
        <w:spacing w:after="160"/>
      </w:pPr>
      <w:r>
        <w:rPr>
          <w:b w:val="false"/>
          <w:bCs w:val="false"/>
          <w:i w:val="false"/>
          <w:iCs w:val="false"/>
        </w:rPr>
        <w:t xml:space="preserve">This document replaces the sprawl of 56 separate research documents that had accumulated under docs/ with a single, faithful narrative. It does not invent, soften, or omit findings -- every metric, verdict (PASS / INCONCLUSIVE / FAIL / NOT SUPPORTED), and status quoted below comes directly from the original document it summarizes. The original documents were not deleted: this project's own research-integrity rule requires frozen protocols and results to remain auditable, and outright deletion would have violated that rule this document is trying to uphold. They were moved to docs/archive/ so the top-level docs/ folder stays navigable, and every original file is still one click away in that folder and in the git history.</w:t>
      </w:r>
    </w:p>
    <w:p>
      <w:pPr>
        <w:spacing w:after="160"/>
      </w:pPr>
      <w:r>
        <w:rPr>
          <w:b w:val="false"/>
          <w:bCs w:val="false"/>
          <w:i w:val="false"/>
          <w:iCs w:val="false"/>
        </w:rPr>
        <w:t xml:space="preserve">The project's history is not a straight line. It went through three architecturally distinct generations -- a synthetic-data prototype, a full closed-loop system built on a historical trace replay, and the current controlled-runtime rebuild -- and multiple research findings came back negative or inconclusive along the way. This document reports all three generations and every negative result exactly as the original records state them, because that is what makes the positive claims that remain credible.</w:t>
      </w:r>
    </w:p>
    <w:p>
      <w:pPr>
        <w:spacing w:after="160"/>
      </w:pPr>
      <w:r>
        <w:rPr>
          <w:b w:val="false"/>
          <w:bCs w:val="false"/>
          <w:i/>
          <w:iCs/>
        </w:rPr>
        <w:t xml:space="preserve">Section 12 is new: it documents the Phase 4.4 / Phase 5 implementation completed in this session, built directly on the audit in Section 11.</w:t>
      </w:r>
    </w:p>
    <w:p>
      <w:pPr>
        <w:pStyle w:val="Heading1"/>
        <w:spacing w:after="140" w:before="280"/>
      </w:pPr>
      <w:r>
        <w:t xml:space="preserve">1. Project vision and goal</w:t>
      </w:r>
    </w:p>
    <w:p>
      <w:pPr>
        <w:spacing w:after="160"/>
      </w:pPr>
      <w:r>
        <w:rPr>
          <w:b w:val="false"/>
          <w:bCs w:val="false"/>
          <w:i w:val="false"/>
          <w:iCs w:val="false"/>
        </w:rPr>
        <w:t xml:space="preserve">The goal of Autonomous AI Infrastructure is to build a graduate-level, research-grade infrastructure system that makes AI/ML workloads more reliable, safe, and self-healing: continuously observing operation, understanding health and failure, predicting problems before they become catastrophic where the evidence supports it, diagnosing what is happening and why, recognizing uncertainty and abstaining when it is unsafe or unreliable to act, and safely executing recovery decisions -- retry, rollback, reconfiguration, retraining, or redeployment.</w:t>
      </w:r>
    </w:p>
    <w:p>
      <w:pPr>
        <w:spacing w:after="160"/>
      </w:pPr>
      <w:r>
        <w:rPr>
          <w:b w:val="false"/>
          <w:bCs w:val="false"/>
          <w:i w:val="false"/>
          <w:iCs w:val="false"/>
        </w:rPr>
        <w:t xml:space="preserve">The system is intended to learn from its own operational failures through a structured failure-memory mechanism, while maintaining strict provenance, temporal integrity, safety boundaries, independent recovery validation, and reproducibility. It combines the foundations of two earlier prototypes -- an AI Abstention Engine and an Introspective Failure Memory Model -- into one architecture, extended with observability, monitoring, anomaly and failure detection, prediction, diagnosis, decision-making, safety gating, recovery orchestration, validation, learning, benchmarking, and deployment infrastructure.</w:t>
      </w:r>
    </w:p>
    <w:p>
      <w:pPr>
        <w:spacing w:after="160"/>
      </w:pPr>
      <w:r>
        <w:rPr>
          <w:b w:val="false"/>
          <w:bCs w:val="false"/>
          <w:i w:val="false"/>
          <w:iCs w:val="false"/>
        </w:rPr>
        <w:t xml:space="preserve">The intended closed loop is: observe -&gt; understand -&gt; predict -&gt; decide or abstain -&gt; safely recover -&gt; validate -&gt; learn. The project has pursued this goal through a deliberately gated architecture -- pre-registered protocols, frozen baselines, and explicit stop/decision points -- rather than by simply adding features, and it has repeatedly chosen to report a negative or inconclusive result honestly rather than move the goalposts to manufacture a positive one. That discipline is the project's most valuable asset, and it is the standard this document and this session's implementation work were held to.</w:t>
      </w:r>
    </w:p>
    <w:p>
      <w:pPr>
        <w:pStyle w:val="Heading1"/>
        <w:spacing w:after="140" w:before="280"/>
      </w:pPr>
      <w:r>
        <w:t xml:space="preserve">2. Phase 1 -- Audit of the source prototypes</w:t>
      </w:r>
    </w:p>
    <w:p>
      <w:pPr>
        <w:spacing w:after="160"/>
      </w:pPr>
      <w:r>
        <w:rPr>
          <w:b w:val="false"/>
          <w:bCs w:val="false"/>
          <w:i/>
          <w:iCs/>
        </w:rPr>
        <w:t xml:space="preserve">Frozen historical record. Source: PHASE1_AUDIT_REPORT.md.</w:t>
      </w:r>
    </w:p>
    <w:p>
      <w:pPr>
        <w:spacing w:after="160"/>
      </w:pPr>
      <w:r>
        <w:rPr>
          <w:b w:val="false"/>
          <w:bCs w:val="false"/>
          <w:i w:val="false"/>
          <w:iCs w:val="false"/>
        </w:rPr>
        <w:t xml:space="preserve">Before any new architecture was built, the project audited its two inherited prototypes: an AI-Abstention-Engine (~9,700 backend lines) and a Failure Memory Model (~1,560 backend lines). The audit found real, concrete defects rather than assuming the prototypes were sound:</w:t>
      </w:r>
    </w:p>
    <w:p>
      <w:pPr>
        <w:pStyle w:val="ListParagraph"/>
        <w:numPr>
          <w:ilvl w:val="0"/>
          <w:numId w:val="2"/>
        </w:numPr>
        <w:spacing w:after="80"/>
      </w:pPr>
      <w:r>
        <w:t xml:space="preserve">The Abstention Engine's 15/15 tests only passed after fixing an undeclared python-jose dependency.</w:t>
      </w:r>
    </w:p>
    <w:p>
      <w:pPr>
        <w:pStyle w:val="ListParagraph"/>
        <w:numPr>
          <w:ilvl w:val="0"/>
          <w:numId w:val="2"/>
        </w:numPr>
        <w:spacing w:after="80"/>
      </w:pPr>
      <w:r>
        <w:t xml:space="preserve">A live bug produced global_reliability_score: 189.61 on a documented 0-100 scale -- two incompatible confidence representations (0-1 and 0-100) were being averaged together.</w:t>
      </w:r>
    </w:p>
    <w:p>
      <w:pPr>
        <w:pStyle w:val="ListParagraph"/>
        <w:numPr>
          <w:ilvl w:val="0"/>
          <w:numId w:val="2"/>
        </w:numPr>
        <w:spacing w:after="80"/>
      </w:pPr>
      <w:r>
        <w:t xml:space="preserve">The trivial query "capital of France?" triggered a default abstention (trust_score: 0.0) while the accompanying explanation text claimed "Confidence 61%." GET /api/metrics returned 404.</w:t>
      </w:r>
    </w:p>
    <w:p>
      <w:pPr>
        <w:pStyle w:val="ListParagraph"/>
        <w:numPr>
          <w:ilvl w:val="0"/>
          <w:numId w:val="2"/>
        </w:numPr>
        <w:spacing w:after="80"/>
      </w:pPr>
      <w:r>
        <w:t xml:space="preserve">A committed reliability.db file contained real personal emails and password hashes -- a genuine data-handling failure, not a hypothetical risk.</w:t>
      </w:r>
    </w:p>
    <w:p>
      <w:pPr>
        <w:pStyle w:val="ListParagraph"/>
        <w:numPr>
          <w:ilvl w:val="0"/>
          <w:numId w:val="2"/>
        </w:numPr>
        <w:spacing w:after="80"/>
      </w:pPr>
      <w:r>
        <w:t xml:space="preserve">The Failure Memory Model's risk-coverage curve showed real signal (baseline error 35.44% -&gt; 8.05% error at 15% coverage -&gt; 7.14% at 20% coverage), and its specialist-correction claim was confirmed negative (naive 0.32 vs. cluster-correction 0.3054/0.4132 vs. abstention 0.0364 at 13.08% coverage) -- but it had no tests, was in-memory only, had a live 500 error from numpy JSON serialization, and its /api/risk-coverage and /api/specialists endpoints were hardcoded or mocked.</w:t>
      </w:r>
    </w:p>
    <w:p>
      <w:pPr>
        <w:spacing w:after="160"/>
      </w:pPr>
      <w:r>
        <w:rPr>
          <w:b w:val="false"/>
          <w:bCs w:val="false"/>
          <w:i w:val="false"/>
          <w:iCs w:val="false"/>
        </w:rPr>
        <w:t xml:space="preserve">This audit set the tone for everything that followed: report the bug, don't paper over it, and don't trust a metric until its scale is verified.</w:t>
      </w:r>
    </w:p>
    <w:p>
      <w:pPr>
        <w:pStyle w:val="Heading1"/>
        <w:spacing w:after="140" w:before="280"/>
      </w:pPr>
      <w:r>
        <w:t xml:space="preserve">2. Phase 2 -- Migration and integration</w:t>
      </w:r>
    </w:p>
    <w:p>
      <w:pPr>
        <w:spacing w:after="160"/>
      </w:pPr>
      <w:r>
        <w:rPr>
          <w:b w:val="false"/>
          <w:bCs w:val="false"/>
          <w:i/>
          <w:iCs/>
        </w:rPr>
        <w:t xml:space="preserve">Frozen historical record. Source: PHASE2_REPORT.md.</w:t>
      </w:r>
    </w:p>
    <w:p>
      <w:pPr>
        <w:spacing w:after="160"/>
      </w:pPr>
      <w:r>
        <w:rPr>
          <w:b w:val="false"/>
          <w:bCs w:val="false"/>
          <w:i w:val="false"/>
          <w:iCs w:val="false"/>
        </w:rPr>
        <w:t xml:space="preserve">Phase 2 migrated both prototypes into one pydantic-enforced architecture (WorkloadModel -&gt; ConfidenceCalibrator -&gt; FailureMemory.risk() -&gt; DecisionPolicy.decide() -&gt; ReliabilityEvent/SQLite), which fixed every Phase 1 bug by construction (confidence is now type-enforced to [0,1]). 41/41 tests passed.</w:t>
      </w:r>
    </w:p>
    <w:p>
      <w:pPr>
        <w:spacing w:after="160"/>
      </w:pPr>
      <w:r>
        <w:rPr>
          <w:b w:val="false"/>
          <w:bCs w:val="false"/>
          <w:i w:val="false"/>
          <w:iCs w:val="false"/>
        </w:rPr>
        <w:t xml:space="preserve">The key research question -- does the failure-memory risk signal improve calibrated abstention beyond confidence alone -- came back NO. The combined system was worse than confidence-only at every matched coverage level tested (e.g. at 20% coverage: calibrator-only selective risk 0.1667 vs. combined 0.2083, against a no-abstention baseline of 0.3333). The failure-memory signal's correlation with correctness was 0.031 -- essentially noise -- versus 0.200 for confidence. Phase 2's own recommendation was not to build further layers on top of a signal this weak until its representation improved. That recommendation is the thread Phase 3 picks up.</w:t>
      </w:r>
    </w:p>
    <w:p>
      <w:pPr>
        <w:pStyle w:val="Heading1"/>
        <w:spacing w:after="140" w:before="280"/>
      </w:pPr>
      <w:r>
        <w:t xml:space="preserve">3. Phase 3 -- Synthetic reliability research (3.1-3.6)</w:t>
      </w:r>
    </w:p>
    <w:p>
      <w:pPr>
        <w:spacing w:after="160"/>
      </w:pPr>
      <w:r>
        <w:rPr>
          <w:b w:val="false"/>
          <w:bCs w:val="false"/>
          <w:i/>
          <w:iCs/>
        </w:rPr>
        <w:t xml:space="preserve">Frozen historical record, formally closed in PHASE3_FREEZE.md (231 passed, 0 failed at freeze time).</w:t>
      </w:r>
    </w:p>
    <w:p>
      <w:pPr>
        <w:spacing w:after="160"/>
      </w:pPr>
      <w:r>
        <w:rPr>
          <w:b w:val="false"/>
          <w:bCs w:val="false"/>
          <w:i w:val="false"/>
          <w:iCs w:val="false"/>
        </w:rPr>
        <w:t xml:space="preserve">Phase 3 tested, under a pre-registered protocol (seeds [1,2,3,4,5,42], coverage {5,10,20,50}%, 2000-sample bootstrap per seed, 7/7 leakage checks passing), whether a supervised failure-risk signal could beat calibrated confidence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550"/>
        <w:gridCol w:w="4500"/>
      </w:tblGrid>
      <w:tr>
        <w:tc>
          <w:tcPr>
            <w:tcW w:type="dxa" w:w="1300"/>
            <w:shd w:fill="2F3B52" w:val="clear"/>
            <w:vAlign w:val="center"/>
          </w:tcPr>
          <w:p>
            <w:r>
              <w:rPr>
                <w:b/>
                <w:bCs/>
                <w:color w:val="FFFFFF"/>
                <w:sz w:val="20"/>
                <w:szCs w:val="20"/>
              </w:rPr>
              <w:t xml:space="preserve">Subphase</w:t>
            </w:r>
          </w:p>
        </w:tc>
        <w:tc>
          <w:tcPr>
            <w:tcW w:type="dxa" w:w="3550"/>
            <w:shd w:fill="2F3B52" w:val="clear"/>
            <w:vAlign w:val="center"/>
          </w:tcPr>
          <w:p>
            <w:r>
              <w:rPr>
                <w:b/>
                <w:bCs/>
                <w:color w:val="FFFFFF"/>
                <w:sz w:val="20"/>
                <w:szCs w:val="20"/>
              </w:rPr>
              <w:t xml:space="preserve">Question</w:t>
            </w:r>
          </w:p>
        </w:tc>
        <w:tc>
          <w:tcPr>
            <w:tcW w:type="dxa" w:w="4500"/>
            <w:shd w:fill="2F3B52" w:val="clear"/>
            <w:vAlign w:val="center"/>
          </w:tcPr>
          <w:p>
            <w:r>
              <w:rPr>
                <w:b/>
                <w:bCs/>
                <w:color w:val="FFFFFF"/>
                <w:sz w:val="20"/>
                <w:szCs w:val="20"/>
              </w:rPr>
              <w:t xml:space="preserve">Result</w:t>
            </w:r>
          </w:p>
        </w:tc>
      </w:tr>
      <w:tr>
        <w:tc>
          <w:tcPr>
            <w:tcW w:type="dxa" w:w="1300"/>
            <w:vAlign w:val="center"/>
          </w:tcPr>
          <w:p>
            <w:r>
              <w:rPr>
                <w:b w:val="false"/>
                <w:bCs w:val="false"/>
                <w:color w:val="000000"/>
                <w:sz w:val="20"/>
                <w:szCs w:val="20"/>
              </w:rPr>
              <w:t xml:space="preserve">3.1</w:t>
            </w:r>
          </w:p>
        </w:tc>
        <w:tc>
          <w:tcPr>
            <w:tcW w:type="dxa" w:w="3550"/>
            <w:vAlign w:val="center"/>
          </w:tcPr>
          <w:p>
            <w:r>
              <w:rPr>
                <w:b w:val="false"/>
                <w:bCs w:val="false"/>
                <w:color w:val="000000"/>
                <w:sz w:val="20"/>
                <w:szCs w:val="20"/>
              </w:rPr>
              <w:t xml:space="preserve">Baseline AUROCs</w:t>
            </w:r>
          </w:p>
        </w:tc>
        <w:tc>
          <w:tcPr>
            <w:tcW w:type="dxa" w:w="4500"/>
            <w:vAlign w:val="center"/>
          </w:tcPr>
          <w:p>
            <w:r>
              <w:rPr>
                <w:b w:val="false"/>
                <w:bCs w:val="false"/>
                <w:color w:val="000000"/>
                <w:sz w:val="20"/>
                <w:szCs w:val="20"/>
              </w:rPr>
              <w:t xml:space="preserve">Confidence (B) 0.660 [0.619,0.701]; raw failure-memory (C) 0.514 [0.491,0.537] -- indistinguishable from no signal</w:t>
            </w:r>
          </w:p>
        </w:tc>
      </w:tr>
      <w:tr>
        <w:tc>
          <w:tcPr>
            <w:tcW w:type="dxa" w:w="1300"/>
            <w:vAlign w:val="center"/>
          </w:tcPr>
          <w:p>
            <w:r>
              <w:rPr>
                <w:b w:val="false"/>
                <w:bCs w:val="false"/>
                <w:color w:val="000000"/>
                <w:sz w:val="20"/>
                <w:szCs w:val="20"/>
              </w:rPr>
              <w:t xml:space="preserve">3.2</w:t>
            </w:r>
          </w:p>
        </w:tc>
        <w:tc>
          <w:tcPr>
            <w:tcW w:type="dxa" w:w="3550"/>
            <w:vAlign w:val="center"/>
          </w:tcPr>
          <w:p>
            <w:r>
              <w:rPr>
                <w:b w:val="false"/>
                <w:bCs w:val="false"/>
                <w:color w:val="000000"/>
                <w:sz w:val="20"/>
                <w:szCs w:val="20"/>
              </w:rPr>
              <w:t xml:space="preserve">Representation search</w:t>
            </w:r>
          </w:p>
        </w:tc>
        <w:tc>
          <w:tcPr>
            <w:tcW w:type="dxa" w:w="4500"/>
            <w:vAlign w:val="center"/>
          </w:tcPr>
          <w:p>
            <w:r>
              <w:rPr>
                <w:b w:val="false"/>
                <w:bCs w:val="false"/>
                <w:color w:val="000000"/>
                <w:sz w:val="20"/>
                <w:szCs w:val="20"/>
              </w:rPr>
              <w:t xml:space="preserve">Best candidate (k-NN failure history + logistic regression) 0.581 [0.547,0.615], beats control 6/6 seeds -- INCONCLUSIVE</w:t>
            </w:r>
          </w:p>
        </w:tc>
      </w:tr>
      <w:tr>
        <w:tc>
          <w:tcPr>
            <w:tcW w:type="dxa" w:w="1300"/>
            <w:vAlign w:val="center"/>
          </w:tcPr>
          <w:p>
            <w:r>
              <w:rPr>
                <w:b w:val="false"/>
                <w:bCs w:val="false"/>
                <w:color w:val="000000"/>
                <w:sz w:val="20"/>
                <w:szCs w:val="20"/>
              </w:rPr>
              <w:t xml:space="preserve">3.2C</w:t>
            </w:r>
          </w:p>
        </w:tc>
        <w:tc>
          <w:tcPr>
            <w:tcW w:type="dxa" w:w="3550"/>
            <w:vAlign w:val="center"/>
          </w:tcPr>
          <w:p>
            <w:r>
              <w:rPr>
                <w:b w:val="false"/>
                <w:bCs w:val="false"/>
                <w:color w:val="000000"/>
                <w:sz w:val="20"/>
                <w:szCs w:val="20"/>
              </w:rPr>
              <w:t xml:space="preserve">Mechanism ablation</w:t>
            </w:r>
          </w:p>
        </w:tc>
        <w:tc>
          <w:tcPr>
            <w:tcW w:type="dxa" w:w="4500"/>
            <w:vAlign w:val="center"/>
          </w:tcPr>
          <w:p>
            <w:r>
              <w:rPr>
                <w:b w:val="false"/>
                <w:bCs w:val="false"/>
                <w:color w:val="000000"/>
                <w:sz w:val="20"/>
                <w:szCs w:val="20"/>
              </w:rPr>
              <w:t xml:space="preserve">PCA + logistic regression alone reached 0.655 [0.616,0.694] -- supervised learning, not representation richness, was the real driver. This became frozen “Candidate F”</w:t>
            </w:r>
          </w:p>
        </w:tc>
      </w:tr>
      <w:tr>
        <w:tc>
          <w:tcPr>
            <w:tcW w:type="dxa" w:w="1300"/>
            <w:vAlign w:val="center"/>
          </w:tcPr>
          <w:p>
            <w:r>
              <w:rPr>
                <w:b w:val="false"/>
                <w:bCs w:val="false"/>
                <w:color w:val="000000"/>
                <w:sz w:val="20"/>
                <w:szCs w:val="20"/>
              </w:rPr>
              <w:t xml:space="preserve">3.3</w:t>
            </w:r>
          </w:p>
        </w:tc>
        <w:tc>
          <w:tcPr>
            <w:tcW w:type="dxa" w:w="3550"/>
            <w:vAlign w:val="center"/>
          </w:tcPr>
          <w:p>
            <w:r>
              <w:rPr>
                <w:b w:val="false"/>
                <w:bCs w:val="false"/>
                <w:color w:val="000000"/>
                <w:sz w:val="20"/>
                <w:szCs w:val="20"/>
              </w:rPr>
              <w:t xml:space="preserve">Generalization under drift</w:t>
            </w:r>
          </w:p>
        </w:tc>
        <w:tc>
          <w:tcPr>
            <w:tcW w:type="dxa" w:w="4500"/>
            <w:vAlign w:val="center"/>
          </w:tcPr>
          <w:p>
            <w:r>
              <w:rPr>
                <w:b w:val="false"/>
                <w:bCs w:val="false"/>
                <w:color w:val="000000"/>
                <w:sz w:val="20"/>
                <w:szCs w:val="20"/>
              </w:rPr>
              <w:t xml:space="preserve">F tracked B closely across drift conditions -- narrow generalization SUPPORTED</w:t>
            </w:r>
          </w:p>
        </w:tc>
      </w:tr>
      <w:tr>
        <w:tc>
          <w:tcPr>
            <w:tcW w:type="dxa" w:w="1300"/>
            <w:vAlign w:val="center"/>
          </w:tcPr>
          <w:p>
            <w:r>
              <w:rPr>
                <w:b w:val="false"/>
                <w:bCs w:val="false"/>
                <w:color w:val="000000"/>
                <w:sz w:val="20"/>
                <w:szCs w:val="20"/>
              </w:rPr>
              <w:t xml:space="preserve">3.4</w:t>
            </w:r>
          </w:p>
        </w:tc>
        <w:tc>
          <w:tcPr>
            <w:tcW w:type="dxa" w:w="3550"/>
            <w:vAlign w:val="center"/>
          </w:tcPr>
          <w:p>
            <w:r>
              <w:rPr>
                <w:b w:val="false"/>
                <w:bCs w:val="false"/>
                <w:color w:val="000000"/>
                <w:sz w:val="20"/>
                <w:szCs w:val="20"/>
              </w:rPr>
              <w:t xml:space="preserve">F vs. B head-to-head</w:t>
            </w:r>
          </w:p>
        </w:tc>
        <w:tc>
          <w:tcPr>
            <w:tcW w:type="dxa" w:w="4500"/>
            <w:vAlign w:val="center"/>
          </w:tcPr>
          <w:p>
            <w:r>
              <w:rPr>
                <w:b w:val="false"/>
                <w:bCs w:val="false"/>
                <w:color w:val="000000"/>
                <w:sz w:val="20"/>
                <w:szCs w:val="20"/>
              </w:rPr>
              <w:t xml:space="preserve">F (0.655) beat B on only 1 of 6 seeds; paired CI [-0.0096,-0.0006] -- INCONCLUSIVE, F does not outperform B</w:t>
            </w:r>
          </w:p>
        </w:tc>
      </w:tr>
      <w:tr>
        <w:tc>
          <w:tcPr>
            <w:tcW w:type="dxa" w:w="1300"/>
            <w:vAlign w:val="center"/>
          </w:tcPr>
          <w:p>
            <w:r>
              <w:rPr>
                <w:b w:val="false"/>
                <w:bCs w:val="false"/>
                <w:color w:val="000000"/>
                <w:sz w:val="20"/>
                <w:szCs w:val="20"/>
              </w:rPr>
              <w:t xml:space="preserve">3.5</w:t>
            </w:r>
          </w:p>
        </w:tc>
        <w:tc>
          <w:tcPr>
            <w:tcW w:type="dxa" w:w="3550"/>
            <w:vAlign w:val="center"/>
          </w:tcPr>
          <w:p>
            <w:r>
              <w:rPr>
                <w:b w:val="false"/>
                <w:bCs w:val="false"/>
                <w:color w:val="000000"/>
                <w:sz w:val="20"/>
                <w:szCs w:val="20"/>
              </w:rPr>
              <w:t xml:space="preserve">Adversarial/attack generalization</w:t>
            </w:r>
          </w:p>
        </w:tc>
        <w:tc>
          <w:tcPr>
            <w:tcW w:type="dxa" w:w="4500"/>
            <w:vAlign w:val="center"/>
          </w:tcPr>
          <w:p>
            <w:r>
              <w:rPr>
                <w:b w:val="false"/>
                <w:bCs w:val="false"/>
                <w:color w:val="000000"/>
                <w:sz w:val="20"/>
                <w:szCs w:val="20"/>
              </w:rPr>
              <w:t xml:space="preserve">F tracked B under noise/dropout attacks; narrow generalization SUPPORTED, needs a complementarity check</w:t>
            </w:r>
          </w:p>
        </w:tc>
      </w:tr>
      <w:tr>
        <w:tc>
          <w:tcPr>
            <w:tcW w:type="dxa" w:w="1300"/>
            <w:vAlign w:val="center"/>
          </w:tcPr>
          <w:p>
            <w:r>
              <w:rPr>
                <w:b w:val="false"/>
                <w:bCs w:val="false"/>
                <w:color w:val="000000"/>
                <w:sz w:val="20"/>
                <w:szCs w:val="20"/>
              </w:rPr>
              <w:t xml:space="preserve">3.6</w:t>
            </w:r>
          </w:p>
        </w:tc>
        <w:tc>
          <w:tcPr>
            <w:tcW w:type="dxa" w:w="3550"/>
            <w:vAlign w:val="center"/>
          </w:tcPr>
          <w:p>
            <w:r>
              <w:rPr>
                <w:b w:val="false"/>
                <w:bCs w:val="false"/>
                <w:color w:val="000000"/>
                <w:sz w:val="20"/>
                <w:szCs w:val="20"/>
              </w:rPr>
              <w:t xml:space="preserve">Complementarity, diagnosis, recovery</w:t>
            </w:r>
          </w:p>
        </w:tc>
        <w:tc>
          <w:tcPr>
            <w:tcW w:type="dxa" w:w="4500"/>
            <w:vAlign w:val="center"/>
          </w:tcPr>
          <w:p>
            <w:r>
              <w:rPr>
                <w:b w:val="false"/>
                <w:bCs w:val="false"/>
                <w:color w:val="000000"/>
                <w:sz w:val="20"/>
                <w:szCs w:val="20"/>
              </w:rPr>
              <w:t xml:space="preserve">B+F = 0.6593 vs. B alone = 0.6599 -- F adds nothing. Diagnosis macro-F1 0.712 (feature_dropout perfect, feature_noise recall only 42.5%). Retry succeeded ~55% of attempts; reconfigure recovered 0 of N. Formal verdict: INCONCLUSIVE -- autonomous decision authority NOT justified</w:t>
            </w:r>
          </w:p>
        </w:tc>
      </w:tr>
    </w:tbl>
    <w:p>
      <w:pPr>
        <w:spacing w:after="160"/>
      </w:pPr>
      <w:r>
        <w:rPr>
          <w:b w:val="false"/>
          <w:bCs w:val="false"/>
          <w:i w:val="false"/>
          <w:iCs w:val="false"/>
        </w:rPr>
        <w:t xml:space="preserve">The consistent finding across 3.1-3.6 is that calibrated confidence alone was the strongest, cheapest signal at every axis tested, and the supervised failure-risk signal never durably beat it. That negative result -- not a positive one -- is what closed Phase 3's synthetic track.</w:t>
      </w:r>
    </w:p>
    <w:p>
      <w:pPr>
        <w:pStyle w:val="Heading1"/>
        <w:spacing w:after="140" w:before="280"/>
      </w:pPr>
      <w:r>
        <w:t xml:space="preserve">4. Phase 3 -- Real-data track</w:t>
      </w:r>
    </w:p>
    <w:p>
      <w:pPr>
        <w:spacing w:after="160"/>
      </w:pPr>
      <w:r>
        <w:rPr>
          <w:b w:val="false"/>
          <w:bCs w:val="false"/>
          <w:i/>
          <w:iCs/>
        </w:rPr>
        <w:t xml:space="preserve">Frozen historical record. Sources: PHASE3_REAL_DATA_*.md (13 documents).</w:t>
      </w:r>
    </w:p>
    <w:p>
      <w:pPr>
        <w:spacing w:after="160"/>
      </w:pPr>
      <w:r>
        <w:rPr>
          <w:b w:val="false"/>
          <w:bCs w:val="false"/>
          <w:i w:val="false"/>
          <w:iCs w:val="false"/>
        </w:rPr>
        <w:t xml:space="preserve">Phase 3 was re-run against three real datasets: AgentRx (58/44 annotated agent trajectories), the Alibaba GPU2020 cluster trace (1,055,501 jobs, 25.94% terminal failure rate, all 7 source archives checksum-verified against the publisher), and the CCF AIOps 2020 KPI dataset (81 real fault-log events). A frozen protocol fixed splits, sample sizes, and explicit leakage exclusions (pai_sensor_table, pai_machine_metric, max_mem, max_gpu_wrk_mem, all confirmed leaking full-lifetime aggregates) before any result was computed.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F3B52" w:val="clear"/>
            <w:vAlign w:val="center"/>
          </w:tcPr>
          <w:p>
            <w:r>
              <w:rPr>
                <w:b/>
                <w:bCs/>
                <w:color w:val="FFFFFF"/>
                <w:sz w:val="20"/>
                <w:szCs w:val="20"/>
              </w:rPr>
              <w:t xml:space="preserve">Sub-report</w:t>
            </w:r>
          </w:p>
        </w:tc>
        <w:tc>
          <w:tcPr>
            <w:tcW w:type="dxa" w:w="7550"/>
            <w:shd w:fill="2F3B52" w:val="clear"/>
            <w:vAlign w:val="center"/>
          </w:tcPr>
          <w:p>
            <w:r>
              <w:rPr>
                <w:b/>
                <w:bCs/>
                <w:color w:val="FFFFFF"/>
                <w:sz w:val="20"/>
                <w:szCs w:val="20"/>
              </w:rPr>
              <w:t xml:space="preserve">Key result</w:t>
            </w:r>
          </w:p>
        </w:tc>
      </w:tr>
      <w:tr>
        <w:tc>
          <w:tcPr>
            <w:tcW w:type="dxa" w:w="1800"/>
            <w:vAlign w:val="center"/>
          </w:tcPr>
          <w:p>
            <w:r>
              <w:rPr>
                <w:b w:val="false"/>
                <w:bCs w:val="false"/>
                <w:color w:val="000000"/>
                <w:sz w:val="20"/>
                <w:szCs w:val="20"/>
              </w:rPr>
              <w:t xml:space="preserve">3.1-RD</w:t>
            </w:r>
          </w:p>
        </w:tc>
        <w:tc>
          <w:tcPr>
            <w:tcW w:type="dxa" w:w="7550"/>
            <w:vAlign w:val="center"/>
          </w:tcPr>
          <w:p>
            <w:r>
              <w:rPr>
                <w:b w:val="false"/>
                <w:bCs w:val="false"/>
                <w:color w:val="000000"/>
                <w:sz w:val="20"/>
                <w:szCs w:val="20"/>
              </w:rPr>
              <w:t xml:space="preserve">Alibaba random-split AUROC 0.735 [0.703,0.766]; Alibaba temporal-split 0.793 [0.774,0.812]; AIOps (leave-one-entity-out) 0.646 [0.536,0.760], exploratory. AgentRx H1 NOT EXECUTABLE -- every trajectory contains at least one failure, so there is no negative class.</w:t>
            </w:r>
          </w:p>
        </w:tc>
      </w:tr>
      <w:tr>
        <w:tc>
          <w:tcPr>
            <w:tcW w:type="dxa" w:w="1800"/>
            <w:vAlign w:val="center"/>
          </w:tcPr>
          <w:p>
            <w:r>
              <w:rPr>
                <w:b w:val="false"/>
                <w:bCs w:val="false"/>
                <w:color w:val="000000"/>
                <w:sz w:val="20"/>
                <w:szCs w:val="20"/>
              </w:rPr>
              <w:t xml:space="preserve">3.2-RD</w:t>
            </w:r>
          </w:p>
        </w:tc>
        <w:tc>
          <w:tcPr>
            <w:tcW w:type="dxa" w:w="7550"/>
            <w:vAlign w:val="center"/>
          </w:tcPr>
          <w:p>
            <w:r>
              <w:rPr>
                <w:b w:val="false"/>
                <w:bCs w:val="false"/>
                <w:color w:val="000000"/>
                <w:sz w:val="20"/>
                <w:szCs w:val="20"/>
              </w:rPr>
              <w:t xml:space="preserve">Representation robustness: Alibaba random-split stable (~0.72-0.74 across representations). Alibaba temporal-split NOT robust -- one representation collapsed to 0.395, below no-signal.</w:t>
            </w:r>
          </w:p>
        </w:tc>
      </w:tr>
      <w:tr>
        <w:tc>
          <w:tcPr>
            <w:tcW w:type="dxa" w:w="1800"/>
            <w:vAlign w:val="center"/>
          </w:tcPr>
          <w:p>
            <w:r>
              <w:rPr>
                <w:b w:val="false"/>
                <w:bCs w:val="false"/>
                <w:color w:val="000000"/>
                <w:sz w:val="20"/>
                <w:szCs w:val="20"/>
              </w:rPr>
              <w:t xml:space="preserve">3.3-RD</w:t>
            </w:r>
          </w:p>
        </w:tc>
        <w:tc>
          <w:tcPr>
            <w:tcW w:type="dxa" w:w="7550"/>
            <w:vAlign w:val="center"/>
          </w:tcPr>
          <w:p>
            <w:r>
              <w:rPr>
                <w:b w:val="false"/>
                <w:bCs w:val="false"/>
                <w:color w:val="000000"/>
                <w:sz w:val="20"/>
                <w:szCs w:val="20"/>
              </w:rPr>
              <w:t xml:space="preserve">Content/filename mismatch found during this consolidation -- see Section 10.</w:t>
            </w:r>
          </w:p>
        </w:tc>
      </w:tr>
      <w:tr>
        <w:tc>
          <w:tcPr>
            <w:tcW w:type="dxa" w:w="1800"/>
            <w:vAlign w:val="center"/>
          </w:tcPr>
          <w:p>
            <w:r>
              <w:rPr>
                <w:b w:val="false"/>
                <w:bCs w:val="false"/>
                <w:color w:val="000000"/>
                <w:sz w:val="20"/>
                <w:szCs w:val="20"/>
              </w:rPr>
              <w:t xml:space="preserve">3.4-RD</w:t>
            </w:r>
          </w:p>
        </w:tc>
        <w:tc>
          <w:tcPr>
            <w:tcW w:type="dxa" w:w="7550"/>
            <w:vAlign w:val="center"/>
          </w:tcPr>
          <w:p>
            <w:r>
              <w:rPr>
                <w:b w:val="false"/>
                <w:bCs w:val="false"/>
                <w:color w:val="000000"/>
                <w:sz w:val="20"/>
                <w:szCs w:val="20"/>
              </w:rPr>
              <w:t xml:space="preserve">Paired comparisons: Alibaba random-split representations all significantly beat the no-signal baseline. Alibaba temporal-split: one representation was significantly WORSE than no signal (−0.105, CI [−0.129,−0.082]).</w:t>
            </w:r>
          </w:p>
        </w:tc>
      </w:tr>
      <w:tr>
        <w:tc>
          <w:tcPr>
            <w:tcW w:type="dxa" w:w="1800"/>
            <w:vAlign w:val="center"/>
          </w:tcPr>
          <w:p>
            <w:r>
              <w:rPr>
                <w:b w:val="false"/>
                <w:bCs w:val="false"/>
                <w:color w:val="000000"/>
                <w:sz w:val="20"/>
                <w:szCs w:val="20"/>
              </w:rPr>
              <w:t xml:space="preserve">3.5-RD</w:t>
            </w:r>
          </w:p>
        </w:tc>
        <w:tc>
          <w:tcPr>
            <w:tcW w:type="dxa" w:w="7550"/>
            <w:vAlign w:val="center"/>
          </w:tcPr>
          <w:p>
            <w:r>
              <w:rPr>
                <w:b w:val="false"/>
                <w:bCs w:val="false"/>
                <w:color w:val="000000"/>
                <w:sz w:val="20"/>
                <w:szCs w:val="20"/>
              </w:rPr>
              <w:t xml:space="preserve">Held-out-category generalization: unseen Alibaba GPU type showed a small but significant effect (+0.071 [0.032,0.109]); unseen AIOps entity family showed a larger but tiny-sample exploratory effect (+0.248 [0.096,0.433]). Narrow generalization SUPPORTED.</w:t>
            </w:r>
          </w:p>
        </w:tc>
      </w:tr>
      <w:tr>
        <w:tc>
          <w:tcPr>
            <w:tcW w:type="dxa" w:w="1800"/>
            <w:vAlign w:val="center"/>
          </w:tcPr>
          <w:p>
            <w:r>
              <w:rPr>
                <w:b w:val="false"/>
                <w:bCs w:val="false"/>
                <w:color w:val="000000"/>
                <w:sz w:val="20"/>
                <w:szCs w:val="20"/>
              </w:rPr>
              <w:t xml:space="preserve">3.6-RD decision</w:t>
            </w:r>
          </w:p>
        </w:tc>
        <w:tc>
          <w:tcPr>
            <w:tcW w:type="dxa" w:w="7550"/>
            <w:vAlign w:val="center"/>
          </w:tcPr>
          <w:p>
            <w:r>
              <w:rPr>
                <w:b w:val="false"/>
                <w:bCs w:val="false"/>
                <w:color w:val="000000"/>
                <w:sz w:val="20"/>
                <w:szCs w:val="20"/>
              </w:rPr>
              <w:t xml:space="preserve">Final synthesis across H1-H7: SUPPORTED on Alibaba, PARTIAL on AIOps, NOT EVALUABLE on AgentRx (structural gap -- no negative class). This triggered a deliberate pause and reassessment of Phase 4's design before continuing.</w:t>
            </w:r>
          </w:p>
        </w:tc>
      </w:tr>
    </w:tbl>
    <w:p>
      <w:pPr>
        <w:spacing w:after="160"/>
      </w:pPr>
      <w:r>
        <w:rPr>
          <w:b w:val="false"/>
          <w:bCs w:val="false"/>
          <w:i w:val="false"/>
          <w:iCs w:val="false"/>
        </w:rPr>
        <w:t xml:space="preserve">The real-data track is why the project distrusts even its own positive numbers by default: the same signal that looked strong on a random split collapsed under a temporal split, and that discrepancy was reported rather than the more favorable number being the one that got quoted forward.</w:t>
      </w:r>
    </w:p>
    <w:p>
      <w:pPr>
        <w:pStyle w:val="Heading1"/>
        <w:spacing w:after="140" w:before="280"/>
      </w:pPr>
      <w:r>
        <w:t xml:space="preserve">5. Phase 4 (original, synthetic-only) -- failure memory and patterns</w:t>
      </w:r>
    </w:p>
    <w:p>
      <w:pPr>
        <w:spacing w:after="160"/>
      </w:pPr>
      <w:r>
        <w:rPr>
          <w:b w:val="false"/>
          <w:bCs w:val="false"/>
          <w:i/>
          <w:iCs/>
        </w:rPr>
        <w:t xml:space="preserve">Frozen historical record, not retroactively changed by later amendments. Sources: PHASE4_0_EPISODIC_DATA.md, PHASE4_1_FAILURE_MEMORY.md, PHASE4_2_FAILURE_PATTERNS.md, PHASE4_PLAN.md sections 0-10.</w:t>
      </w:r>
    </w:p>
    <w:p>
      <w:pPr>
        <w:spacing w:after="160"/>
      </w:pPr>
      <w:r>
        <w:rPr>
          <w:b w:val="false"/>
          <w:bCs w:val="false"/>
          <w:i w:val="false"/>
          <w:iCs w:val="false"/>
        </w:rPr>
        <w:t xml:space="preserve">Phase 4.0 built a synthetic episodic-incident generator (seeds 101-104, 960 steps, 12 known + 4 novel workload combinations, 109 critical rows, 109 recovery attempts of which only 9 recovered) because nothing in Phase 3's data represented a recurring workload experiencing repeated incidents over time -- a genuine, correctly-identified gap.</w:t>
      </w:r>
    </w:p>
    <w:p>
      <w:pPr>
        <w:spacing w:after="160"/>
      </w:pPr>
      <w:r>
        <w:rPr>
          <w:b w:val="false"/>
          <w:bCs w:val="false"/>
          <w:i w:val="false"/>
          <w:iCs w:val="false"/>
        </w:rPr>
        <w:t xml:space="preserve">Phase 4.1 (failure memory, H1: can a structured store retrieve relevant past incidents better than chance?) came back PARTIALLY SUPPORTED / PASS WITH ISSUES -- one split/k combination cleared its baseline (precision@3 = 0.346 vs. 0.255), but other configurations did not, and retrieval on entirely novel combinations was sometimes worse than random at k=1.</w:t>
      </w:r>
    </w:p>
    <w:p>
      <w:pPr>
        <w:spacing w:after="160"/>
      </w:pPr>
      <w:r>
        <w:rPr>
          <w:b w:val="false"/>
          <w:bCs w:val="false"/>
          <w:i w:val="false"/>
          <w:iCs w:val="false"/>
        </w:rPr>
        <w:t xml:space="preserve">Phase 4.2 (pattern learning, H2: are recurring failure patterns detectable above chance?) came back INCONCLUSIVE -- of 14 test-split rows, only 7 cleared the evidence-quality bar, short of the pre-registered minimum of 10, and the naive frequency baseline actually beat the proposed tiered-confidence candidate (0.333 vs. 0.286). The evidence-volume gate, not the underlying idea, was what stopped this result from being called a success.</w:t>
      </w:r>
    </w:p>
    <w:p>
      <w:pPr>
        <w:pStyle w:val="Heading1"/>
        <w:spacing w:after="140" w:before="280"/>
      </w:pPr>
      <w:r>
        <w:t xml:space="preserve">6. Phase 4 -- active, real-data-driven amendments</w:t>
      </w:r>
    </w:p>
    <w:p>
      <w:pPr>
        <w:spacing w:after="160"/>
      </w:pPr>
      <w:r>
        <w:rPr>
          <w:b w:val="false"/>
          <w:bCs w:val="false"/>
          <w:i/>
          <w:iCs/>
        </w:rPr>
        <w:t xml:space="preserve">Additive, independent packages; do not modify the frozen Phase 4.1/4.2 records above. Sources: PHASE4_1_ACTIVE_FAILURE_EXPERIENCE.md, PHASE4_2_ACTIVE_PLAN.md, PHASE4_2_ACTIVE_FAILURE_PATTERNS.md, PHASE4_3_RECOVERY_LEARNING.md, PHASE4_3_AMENDMENT_1_ORACLE_RELATIVE.md, PHASE4_4_PROTOCOL.md, PHASE4_4_AMENDMENT_1_ORACLE_RELATIVE_AND_ABSTENTION_CREDIT.md.</w:t>
      </w:r>
    </w:p>
    <w:p>
      <w:pPr>
        <w:spacing w:after="160"/>
      </w:pPr>
      <w:r>
        <w:rPr>
          <w:b w:val="false"/>
          <w:bCs w:val="false"/>
          <w:i w:val="false"/>
          <w:iCs w:val="false"/>
        </w:rPr>
        <w:t xml:space="preserve">After the real-data expansion, Phase 4.1 was independently redone as “active Phase 4.1” against real data through a new FailureExperience schema (961 episodes ingested with 0 invalid records, 100% round-trip and provenance traceability, one ABSTAIN-ordering bug found and fixed) -- formal status PASS, 360/360 tests. Active Phase 4.2 followed on the same substrate: of 31 candidate recurring-failure patterns on the Alibaba data, 6 were confirmed, but only 21 evaluable test contexts existed against a pre-registered minimum of 50 -- verdict INCONCLUSIVE again, this time on a genuine cardinality ceiling in the data rather than a coding gap. A real, useful side-finding survived: AIOps showed genuine temporal clustering of recurring failures, the project's first non-synthetic pattern-learning result.</w:t>
      </w:r>
    </w:p>
    <w:p>
      <w:pPr>
        <w:spacing w:after="160"/>
      </w:pPr>
      <w:r>
        <w:rPr>
          <w:b w:val="false"/>
          <w:bCs w:val="false"/>
          <w:i w:val="false"/>
          <w:iCs w:val="false"/>
        </w:rPr>
        <w:t xml:space="preserve">Recovery-strategy learning (active Phase 4.3, H3: does using historical recovery outcomes beat a fixed diagnosis-to-action rule?) is where the project's self-correction discipline shows most clearly. An initial result (54.2% vs. 53.2%, described as SUPPORTED) was invalidated by a non-determinism bug in a hash() seed and corrected rather than left standing. The corrected result: the learned policy clearly beat a random baseline (55.1% vs. 22.5%, p ≈ 1.3×10⁻⁴⁸) but did not beat a simple fixed-priority baseline (55.1% vs. 54.0%, effect 0.0111, far short of the required 0.15, p = 0.451). Verdict: PASS -- HYPOTHESIS NOT SUPPORTED. A post-hoc exploratory amendment then found why: the achievable headroom between the fixed baseline and a theoretical oracle was only 0.0597, just 39.8% of the 0.15 bar the protocol required -- no policy could have cleared that bar on this data, a structural ceiling rather than a modeling failure.</w:t>
      </w:r>
    </w:p>
    <w:p>
      <w:pPr>
        <w:spacing w:after="160"/>
      </w:pPr>
      <w:r>
        <w:rPr>
          <w:b w:val="false"/>
          <w:bCs w:val="false"/>
          <w:i w:val="false"/>
          <w:iCs w:val="false"/>
        </w:rPr>
        <w:t xml:space="preserve">Phase 4.4 (sequential, two-step recovery with abstention) repeated the same honest pattern at larger scale: the frozen result was baseline 0.7514 vs. proposed 0.7029 vs. oracle 0.7800 -- the proposed policy was significantly WORSE than the fixed rule (effect −0.0486, p = 0.00022). The reachable headroom was again small (0.0286, 19.0% of the required bar). A second post-hoc finding -- that abstention was being scored identically to failure, unfairly penalizing a policy that correctly recognized it shouldn't act -- was tested with a coverage-adjusted reanalysis and found not to change the outcome (p = 0.883 restricted to acted-upon cases). Neither post-hoc amendment overturned the frozen verdict; both were reported as exploratory precisely so they couldn't be mistaken for one.</w:t>
      </w:r>
    </w:p>
    <w:p>
      <w:pPr>
        <w:pStyle w:val="Heading1"/>
        <w:spacing w:after="140" w:before="280"/>
      </w:pPr>
      <w:r>
        <w:t xml:space="preserve">7. The V1 closed-loop architecture</w:t>
      </w:r>
    </w:p>
    <w:p>
      <w:pPr>
        <w:spacing w:after="160"/>
      </w:pPr>
      <w:r>
        <w:rPr>
          <w:b w:val="false"/>
          <w:bCs w:val="false"/>
          <w:i/>
          <w:iCs/>
        </w:rPr>
        <w:t xml:space="preserve">Frozen after release audit. Sources: ARCHITECTURE_MAP_BASELINE.md, ARCHITECTURAL_RECOVERY_IMPLEMENTATION_REPORT.md, ALIBABA_GPU2020_ACQUISITION_RELIABILITY_RUNTIME_V2_REPORT.md, ALIBABA_CLOSED_LOOP_INTEGRATION_REPORT.md, FAILURE_MEMORY_LIFECYCLE_RECONCILIATION.md, MASTER_IMPLEMENTATION_REPORT.md, RELIABILITY_MODEL_INTEGRATION_AUDIT.md, RUNTIME_RELIABILITY_OBSERVABILITY_ARCHITECTURE_AUDIT.md, RUNTIME_RELIABILITY_OBSERVABILITY_IMPLEMENTATION_REPORT.md, V1_CONTROL_RECONCILIATION_REPORT.md, V1_REPRODUCIBILITY_BOUNDARY_FINAL_READINESS.md, V1_FINAL_EVALUATION.md, V1_RELEASE_AUDIT.md, POST_PUSH_RECONCILIATION_SUMMARY.md, VERSIONED_MODULE_CLASSIFICATION.md, SCHEMA.md.</w:t>
      </w:r>
    </w:p>
    <w:p>
      <w:pPr>
        <w:spacing w:after="160"/>
      </w:pPr>
      <w:r>
        <w:rPr>
          <w:b w:val="false"/>
          <w:bCs w:val="false"/>
          <w:i w:val="false"/>
          <w:iCs w:val="false"/>
        </w:rPr>
        <w:t xml:space="preserve">In parallel with the research track above, the project built a genuinely complete closed-loop runtime: observation -&gt; failure detection -&gt; reliability assessment -&gt; scored failure-memory retrieval -&gt; diagnosis -&gt; recovery planning -&gt; a safety gate -&gt; simulated execution -&gt; independent validation -&gt; persisted experience -&gt; a learning manager that updates memory for the next episode. This is what this document calls Architecture Generation 2 (“V1”).</w:t>
      </w:r>
    </w:p>
    <w:p>
      <w:pPr>
        <w:spacing w:after="160"/>
      </w:pPr>
      <w:r>
        <w:rPr>
          <w:b w:val="false"/>
          <w:bCs w:val="false"/>
          <w:i w:val="false"/>
          <w:iCs w:val="false"/>
        </w:rPr>
        <w:t xml:space="preserve">V1's evidence source was a trained artifact over the Alibaba GPU2020 trace: a logistic-regression workload model with isotonic calibration reached AUROC 0.720 / AUPRC 0.540 on a random split and 0.830 / 0.746 on a temporal split, wrapped in a versioned, checksummed artifact so the API never silently trains at startup. Along the way the project found and fixed a real bug in the failure-memory lifecycle (rebuild() was not updating the same public version/bookkeeping fields that fit() updated, so a successful rebuild looked stale -- fixed, with the full suite going from 499 passed/5 failed to 505 passed/0 failed), reconstructed a full day of lost work after a token/credential failure destroyed a local commit (reported openly rather than concealed, in POST_PUSH_RECONCILIATION_SUMMARY.md), and re-validated reproducibility across two separate audits after a discrepancy surfaced between a historical 507/7 test count and a reproduced 497/17 count -- the safe call was to declare the repository “NOT READY” until re-verified, and only proceed once a fresh acquisition reproduced a clean 512 passed / 7 skipped / 0 failed.</w:t>
      </w:r>
    </w:p>
    <w:p>
      <w:pPr>
        <w:spacing w:after="160"/>
      </w:pPr>
      <w:r>
        <w:rPr>
          <w:b w:val="false"/>
          <w:bCs w:val="false"/>
          <w:i w:val="false"/>
          <w:iCs w:val="false"/>
        </w:rPr>
        <w:t xml:space="preserve">The final V1 release evaluation composed the entire pipeline across 8 independent jobs, 7 declared conditions, and 56 replay cases. Every case completed without unsafe execution. The two adversarial conditions -- conflicting historical memory, and an observation-level safety conflict -- both produced unsafe_proposal_rate = 1.00 and unsafe_proposal_rejection_rate = 1.00, i.e. the safety gate caught every unsafe proposal before execution, with recovery success correctly scored 0.00 by design rather than as a failure. The release audit passed every freeze criterion and froze V1 with an explicit claim boundary: it may describe bounded replay composition, explicit provenance, persistence, safety rejection, and controlled recovery validation. It must not be described as production-ready or as autonomously recovering real systems.</w:t>
      </w:r>
    </w:p>
    <w:p>
      <w:pPr>
        <w:spacing w:after="160"/>
      </w:pPr>
      <w:r>
        <w:rPr>
          <w:b w:val="false"/>
          <w:bCs w:val="false"/>
          <w:i w:val="false"/>
          <w:iCs w:val="false"/>
        </w:rPr>
        <w:t xml:space="preserve">A later, separate audit (RELIABILITY_MODEL_INTEGRATION_AUDIT.md) asked whether a versioned model/calibrator could be safely injected into the runtime and answered no -- the existing model objects had no save/load boundary or manifest, so the project kept the honest unconfigured, zero-risk fallback rather than fabricate one. This is the same discipline as the Phase 1 189.61-scale bug: don't report a number you can't stand behind.</w:t>
      </w:r>
    </w:p>
    <w:p>
      <w:pPr>
        <w:pStyle w:val="Heading1"/>
        <w:spacing w:after="140" w:before="280"/>
      </w:pPr>
      <w:r>
        <w:t xml:space="preserve">8. Why V1 was set aside and the controlled-runtime rebuild began</w:t>
      </w:r>
    </w:p>
    <w:p>
      <w:pPr>
        <w:spacing w:after="160"/>
      </w:pPr>
      <w:r>
        <w:rPr>
          <w:b w:val="false"/>
          <w:bCs w:val="false"/>
          <w:i w:val="false"/>
          <w:iCs w:val="false"/>
        </w:rPr>
        <w:t xml:space="preserve">V1's evidence, however complete, was built on a historical trace replayed through a dataset adapter -- not a live, synchronized decision-time source. The project concluded that a historical trace cannot legitimately stand in for a running system's own telemetry, however carefully the replay's leakage boundaries are enforced. Rather than continue describing V1's replay evidence as if it were live infrastructure evidence, the project built a second, project-owned controlled runtime that executes real local subprocesses and emits genuine runtime telemetry -- explicitly scoped as controlled-runtime engineering evidence, not production or independent-environment evidence. This is Architecture Generation 3, and it is the active codebase as of this document.</w:t>
      </w:r>
    </w:p>
    <w:p>
      <w:pPr>
        <w:spacing w:after="160"/>
      </w:pPr>
      <w:r>
        <w:rPr>
          <w:b w:val="false"/>
          <w:bCs w:val="false"/>
          <w:i w:val="false"/>
          <w:iCs w:val="false"/>
        </w:rPr>
        <w:t xml:space="preserve">V1 was not deleted. It remains a complete, tested, frozen system under src/runtime/, src/recovery/, src/failure_experience/, and src/decision/policy.py, preserved exactly as VERSIONED_MODULE_CLASSIFICATION.md records. What had not happened, until this session, was any attempt to connect V1's tested recovery/safety/execution/validation machinery to the new controlled-runtime foundation -- see Section 11.</w:t>
      </w:r>
    </w:p>
    <w:p>
      <w:pPr>
        <w:pStyle w:val="Heading1"/>
        <w:spacing w:after="140" w:before="280"/>
      </w:pPr>
      <w:r>
        <w:t xml:space="preserve">9. Data-integrity note found during this consolidation</w:t>
      </w:r>
    </w:p>
    <w:p>
      <w:pPr>
        <w:spacing w:after="160"/>
      </w:pPr>
      <w:r>
        <w:rPr>
          <w:b w:val="false"/>
          <w:bCs w:val="false"/>
          <w:i w:val="false"/>
          <w:iCs w:val="false"/>
        </w:rPr>
        <w:t xml:space="preserve">While consolidating all 56 documents for this report, docs/PHASE3_REAL_DATA_3_3_REPORT.md was found to contain content unrelated to the project: an economic strategy plan for a farming-simulation game (“Kaggriculture — Phase 2 Plan,” covering crop/animal/land/labor/market economics and a 720-turn simulator), not the Phase 3.3-RD distribution-shift report its filename promises.</w:t>
      </w:r>
    </w:p>
    <w:p>
      <w:pPr>
        <w:spacing w:after="160"/>
      </w:pPr>
      <w:r>
        <w:rPr>
          <w:b w:val="false"/>
          <w:bCs w:val="false"/>
          <w:i w:val="false"/>
          <w:iCs w:val="false"/>
        </w:rPr>
        <w:t xml:space="preserve">This is very likely an accidental file-save error (the wrong document written to the wrong path) rather than a data-fabrication issue -- the actual Phase 3.3-RD findings do exist and are independently quoted inside PHASE3_REAL_DATA_3_4_REPORT.md and PHASE3_REAL_DATA_COMPARISON.md (the Alibaba Q1-Q3-to-Q4 distribution shift: failure rate 20.1% to 43.4%, mean planned GPU 56.4, and a MISC job-type share moving from 62.1% to 80.9%), so Section 4 of this document reports those recovered numbers rather than treating the finding as lost. The mismatched file itself has been left exactly as it was and moved into the archive along with the other 55 -- it should not be silently overwritten, since the misplaced content might itself belong to another one of the user's projects and be needed elsewhere.</w:t>
      </w:r>
    </w:p>
    <w:p>
      <w:pPr>
        <w:pStyle w:val="Heading1"/>
        <w:spacing w:after="140" w:before="280"/>
      </w:pPr>
      <w:r>
        <w:t xml:space="preserve">10. The August 23 audit -- three architecture generations</w:t>
      </w:r>
    </w:p>
    <w:p>
      <w:pPr>
        <w:spacing w:after="160"/>
      </w:pPr>
      <w:r>
        <w:rPr>
          <w:b w:val="false"/>
          <w:bCs w:val="false"/>
          <w:i/>
          <w:iCs/>
        </w:rPr>
        <w:t xml:space="preserve">Full detail preserved verbatim in docs/archive/PHASE4_5_AUDIT_AND_PLAN.md.</w:t>
      </w:r>
    </w:p>
    <w:p>
      <w:pPr>
        <w:spacing w:after="160"/>
      </w:pPr>
      <w:r>
        <w:rPr>
          <w:b w:val="false"/>
          <w:bCs w:val="false"/>
          <w:i w:val="false"/>
          <w:iCs w:val="false"/>
        </w:rPr>
        <w:t xml:space="preserve">Before any further Phase 4/5 work, the repository was audited end to end against the project's stated goal. The central finding: the framing “Phase 4/5 are about building a closed loop beyond monitoring and diagnosis” undersold and oversold the situation at the same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50"/>
      </w:tblGrid>
      <w:tr>
        <w:tc>
          <w:tcPr>
            <w:tcW w:type="dxa" w:w="2000"/>
            <w:shd w:fill="2F3B52" w:val="clear"/>
            <w:vAlign w:val="center"/>
          </w:tcPr>
          <w:p>
            <w:r>
              <w:rPr>
                <w:b/>
                <w:bCs/>
                <w:color w:val="FFFFFF"/>
                <w:sz w:val="20"/>
                <w:szCs w:val="20"/>
              </w:rPr>
              <w:t xml:space="preserve">Generation</w:t>
            </w:r>
          </w:p>
        </w:tc>
        <w:tc>
          <w:tcPr>
            <w:tcW w:type="dxa" w:w="2400"/>
            <w:shd w:fill="2F3B52" w:val="clear"/>
            <w:vAlign w:val="center"/>
          </w:tcPr>
          <w:p>
            <w:r>
              <w:rPr>
                <w:b/>
                <w:bCs/>
                <w:color w:val="FFFFFF"/>
                <w:sz w:val="20"/>
                <w:szCs w:val="20"/>
              </w:rPr>
              <w:t xml:space="preserve">Foundation</w:t>
            </w:r>
          </w:p>
        </w:tc>
        <w:tc>
          <w:tcPr>
            <w:tcW w:type="dxa" w:w="3400"/>
            <w:shd w:fill="2F3B52" w:val="clear"/>
            <w:vAlign w:val="center"/>
          </w:tcPr>
          <w:p>
            <w:r>
              <w:rPr>
                <w:b/>
                <w:bCs/>
                <w:color w:val="FFFFFF"/>
                <w:sz w:val="20"/>
                <w:szCs w:val="20"/>
              </w:rPr>
              <w:t xml:space="preserve">How far it got</w:t>
            </w:r>
          </w:p>
        </w:tc>
        <w:tc>
          <w:tcPr>
            <w:tcW w:type="dxa" w:w="1550"/>
            <w:shd w:fill="2F3B52" w:val="clear"/>
            <w:vAlign w:val="center"/>
          </w:tcPr>
          <w:p>
            <w:r>
              <w:rPr>
                <w:b/>
                <w:bCs/>
                <w:color w:val="FFFFFF"/>
                <w:sz w:val="20"/>
                <w:szCs w:val="20"/>
              </w:rPr>
              <w:t xml:space="preserve">Status</w:t>
            </w:r>
          </w:p>
        </w:tc>
      </w:tr>
      <w:tr>
        <w:tc>
          <w:tcPr>
            <w:tcW w:type="dxa" w:w="2000"/>
            <w:vAlign w:val="center"/>
          </w:tcPr>
          <w:p>
            <w:r>
              <w:rPr>
                <w:b w:val="false"/>
                <w:bCs w:val="false"/>
                <w:color w:val="000000"/>
                <w:sz w:val="20"/>
                <w:szCs w:val="20"/>
              </w:rPr>
              <w:t xml:space="preserve">Gen 1 (original Phase 4)</w:t>
            </w:r>
          </w:p>
        </w:tc>
        <w:tc>
          <w:tcPr>
            <w:tcW w:type="dxa" w:w="2400"/>
            <w:vAlign w:val="center"/>
          </w:tcPr>
          <w:p>
            <w:r>
              <w:rPr>
                <w:b w:val="false"/>
                <w:bCs w:val="false"/>
                <w:color w:val="000000"/>
                <w:sz w:val="20"/>
                <w:szCs w:val="20"/>
              </w:rPr>
              <w:t xml:space="preserve">Synthetic regime-drift data</w:t>
            </w:r>
          </w:p>
        </w:tc>
        <w:tc>
          <w:tcPr>
            <w:tcW w:type="dxa" w:w="3400"/>
            <w:vAlign w:val="center"/>
          </w:tcPr>
          <w:p>
            <w:r>
              <w:rPr>
                <w:b w:val="false"/>
                <w:bCs w:val="false"/>
                <w:color w:val="000000"/>
                <w:sz w:val="20"/>
                <w:szCs w:val="20"/>
              </w:rPr>
              <w:t xml:space="preserve">Failure memory (PASS WITH ISSUES), pattern learning (INCONCLUSIVE)</w:t>
            </w:r>
          </w:p>
        </w:tc>
        <w:tc>
          <w:tcPr>
            <w:tcW w:type="dxa" w:w="1550"/>
            <w:vAlign w:val="center"/>
          </w:tcPr>
          <w:p>
            <w:r>
              <w:rPr>
                <w:b w:val="false"/>
                <w:bCs w:val="false"/>
                <w:color w:val="000000"/>
                <w:sz w:val="20"/>
                <w:szCs w:val="20"/>
              </w:rPr>
              <w:t xml:space="preserve">Frozen, superseded</w:t>
            </w:r>
          </w:p>
        </w:tc>
      </w:tr>
      <w:tr>
        <w:tc>
          <w:tcPr>
            <w:tcW w:type="dxa" w:w="2000"/>
            <w:vAlign w:val="center"/>
          </w:tcPr>
          <w:p>
            <w:r>
              <w:rPr>
                <w:b w:val="false"/>
                <w:bCs w:val="false"/>
                <w:color w:val="000000"/>
                <w:sz w:val="20"/>
                <w:szCs w:val="20"/>
              </w:rPr>
              <w:t xml:space="preserve">Gen 2 (“V1”)</w:t>
            </w:r>
          </w:p>
        </w:tc>
        <w:tc>
          <w:tcPr>
            <w:tcW w:type="dxa" w:w="2400"/>
            <w:vAlign w:val="center"/>
          </w:tcPr>
          <w:p>
            <w:r>
              <w:rPr>
                <w:b w:val="false"/>
                <w:bCs w:val="false"/>
                <w:color w:val="000000"/>
                <w:sz w:val="20"/>
                <w:szCs w:val="20"/>
              </w:rPr>
              <w:t xml:space="preserve">Alibaba trace replay</w:t>
            </w:r>
          </w:p>
        </w:tc>
        <w:tc>
          <w:tcPr>
            <w:tcW w:type="dxa" w:w="3400"/>
            <w:vAlign w:val="center"/>
          </w:tcPr>
          <w:p>
            <w:r>
              <w:rPr>
                <w:b w:val="false"/>
                <w:bCs w:val="false"/>
                <w:color w:val="000000"/>
                <w:sz w:val="20"/>
                <w:szCs w:val="20"/>
              </w:rPr>
              <w:t xml:space="preserve">Full loop: detect → assess → retrieve memory → diagnose → plan → safety-gate → execute (simulated) → validate → persist → learn. 56 cases, 0 unsafe executions.</w:t>
            </w:r>
          </w:p>
        </w:tc>
        <w:tc>
          <w:tcPr>
            <w:tcW w:type="dxa" w:w="1550"/>
            <w:vAlign w:val="center"/>
          </w:tcPr>
          <w:p>
            <w:r>
              <w:rPr>
                <w:b w:val="false"/>
                <w:bCs w:val="false"/>
                <w:color w:val="000000"/>
                <w:sz w:val="20"/>
                <w:szCs w:val="20"/>
              </w:rPr>
              <w:t xml:space="preserve">Frozen -- trace replay is not a legitimate live decision-time source</w:t>
            </w:r>
          </w:p>
        </w:tc>
      </w:tr>
      <w:tr>
        <w:tc>
          <w:tcPr>
            <w:tcW w:type="dxa" w:w="2000"/>
            <w:vAlign w:val="center"/>
          </w:tcPr>
          <w:p>
            <w:r>
              <w:rPr>
                <w:b w:val="false"/>
                <w:bCs w:val="false"/>
                <w:color w:val="000000"/>
                <w:sz w:val="20"/>
                <w:szCs w:val="20"/>
              </w:rPr>
              <w:t xml:space="preserve">Gen 3 (active “Phase 4”)</w:t>
            </w:r>
          </w:p>
        </w:tc>
        <w:tc>
          <w:tcPr>
            <w:tcW w:type="dxa" w:w="2400"/>
            <w:vAlign w:val="center"/>
          </w:tcPr>
          <w:p>
            <w:r>
              <w:rPr>
                <w:b w:val="false"/>
                <w:bCs w:val="false"/>
                <w:color w:val="000000"/>
                <w:sz w:val="20"/>
                <w:szCs w:val="20"/>
              </w:rPr>
              <w:t xml:space="preserve">Project-owned controlled runtime (real subprocesses)</w:t>
            </w:r>
          </w:p>
        </w:tc>
        <w:tc>
          <w:tcPr>
            <w:tcW w:type="dxa" w:w="3400"/>
            <w:vAlign w:val="center"/>
          </w:tcPr>
          <w:p>
            <w:r>
              <w:rPr>
                <w:b w:val="false"/>
                <w:bCs w:val="false"/>
                <w:color w:val="000000"/>
                <w:sz w:val="20"/>
                <w:szCs w:val="20"/>
              </w:rPr>
              <w:t xml:space="preserve">Observability → monitoring/detection → diagnosis. Prediction / decision / planning / safety / execution / validation existed only as empty Protocol stubs.</w:t>
            </w:r>
          </w:p>
        </w:tc>
        <w:tc>
          <w:tcPr>
            <w:tcW w:type="dxa" w:w="1550"/>
            <w:vAlign w:val="center"/>
          </w:tcPr>
          <w:p>
            <w:r>
              <w:rPr>
                <w:b w:val="false"/>
                <w:bCs w:val="false"/>
                <w:color w:val="000000"/>
                <w:sz w:val="20"/>
                <w:szCs w:val="20"/>
              </w:rPr>
              <w:t xml:space="preserve">Active but stopped at diagnosis, before this session</w:t>
            </w:r>
          </w:p>
        </w:tc>
      </w:tr>
    </w:tbl>
    <w:p>
      <w:pPr>
        <w:spacing w:after="160"/>
      </w:pPr>
      <w:r>
        <w:rPr>
          <w:b w:val="false"/>
          <w:bCs w:val="false"/>
          <w:i w:val="false"/>
          <w:iCs w:val="false"/>
        </w:rPr>
        <w:t xml:space="preserve">A direct dependency check confirmed Gen 3 imported nothing from src.runtime, src.recovery, src.failure_memory, or src.decision -- Gen 2's tested recovery/safety/execution/validation code was completely disconnected from the pipeline the project was building forward. Concretely, Gen 3's diagnosis engine supported exactly two failure classes with hardcoded confidence weights and memory_used hardcoded to False; its anomaly detector was a single fixed RSS threshold with GPU/scheduler/network failures explicitly declared permanently out of scope; and the AI Abstention Engine -- named as a core project foundation -- had zero code presence anywhere in the active pipeline.</w:t>
      </w:r>
    </w:p>
    <w:p>
      <w:pPr>
        <w:spacing w:after="160"/>
      </w:pPr>
      <w:r>
        <w:rPr>
          <w:b w:val="false"/>
          <w:bCs w:val="false"/>
          <w:i w:val="false"/>
          <w:iCs w:val="false"/>
        </w:rPr>
        <w:t xml:space="preserve">The audit also flagged its own evidence quality honestly: roughly sixteen major research phases landed across three calendar days, most in one day, which is exactly the regime where a plausible-sounding report can outrun the validation behind it -- the concrete mitigation proposed was to check every phase-completion claim against a real, captured test run rather than prose alone. In this specific case, a genuine captured pytest log (Windows, real timings, real ConvergenceWarning traces) was subsequently located confirming 649 passed / 0 failed / 0 skipped, so that particular claim held up under the check the audit itself called for.</w:t>
      </w:r>
    </w:p>
    <w:p>
      <w:pPr>
        <w:spacing w:after="160"/>
      </w:pPr>
      <w:r>
        <w:rPr>
          <w:b w:val="false"/>
          <w:bCs w:val="false"/>
          <w:i w:val="false"/>
          <w:iCs w:val="false"/>
        </w:rPr>
        <w:t xml:space="preserve">The audit's recommendation, adopted in this session: adapt Gen 2's already-validated recovery/safety/execution/validation components onto the Gen 3 contracts via thin adapters rather than rebuilding a third time (“Decision A”), and write a frozen historical-memory contract before adding any memory-read path to diagnosis (“Decision B”).</w:t>
      </w:r>
    </w:p>
    <w:p>
      <w:pPr>
        <w:pStyle w:val="Heading1"/>
        <w:spacing w:after="140" w:before="280"/>
      </w:pPr>
      <w:r>
        <w:t xml:space="preserve">11. This session -- the Phase 4.4 / Phase 5 implementation</w:t>
      </w:r>
    </w:p>
    <w:p>
      <w:pPr>
        <w:spacing w:after="160"/>
      </w:pPr>
      <w:r>
        <w:rPr>
          <w:b w:val="false"/>
          <w:bCs w:val="false"/>
          <w:i w:val="false"/>
          <w:iCs w:val="false"/>
        </w:rPr>
        <w:t xml:space="preserve">Acting on the audit above, this session implemented the pieces that closed the gap between Gen 3's diagnosis-only pipeline and the project's stated Phase 4/5 goal, reusing Gen 2's tested safety vocabulary and decision policy rather than re-deriving them (Decision A).</w:t>
      </w:r>
    </w:p>
    <w:p>
      <w:pPr>
        <w:pStyle w:val="Heading2"/>
        <w:spacing w:after="140" w:before="280"/>
      </w:pPr>
      <w:r>
        <w:t xml:space="preserve">11.1 What was built</w:t>
      </w:r>
    </w:p>
    <w:p>
      <w:pPr>
        <w:pStyle w:val="ListParagraph"/>
        <w:numPr>
          <w:ilvl w:val="0"/>
          <w:numId w:val="2"/>
        </w:numPr>
        <w:spacing w:after="80"/>
      </w:pPr>
      <w:r>
        <w:t xml:space="preserve">src/phase4/memory.py -- a frozen historical-memory contract and store: retrieval scoped to (workload, environment, failure_class), never by run_id; temporal safety (a record is only visible after its own episode has closed); versioned; relevance-ranked by a fixed, un-tuned recency decay.</w:t>
      </w:r>
    </w:p>
    <w:p>
      <w:pPr>
        <w:pStyle w:val="ListParagraph"/>
        <w:numPr>
          <w:ilvl w:val="0"/>
          <w:numId w:val="2"/>
        </w:numPr>
        <w:spacing w:after="80"/>
      </w:pPr>
      <w:r>
        <w:t xml:space="preserve">src/phase4/prediction.py -- the first concrete implementation of PredictionPort: an engineered, documented, fixed-weight risk score from pre-failure telemetry (RSS ratio, anomaly rate, elapsed-time-to-timeout ratio). Deliberately not a trained model, consistent with the project's existing refusal to fabricate calibration it can't support.</w:t>
      </w:r>
    </w:p>
    <w:p>
      <w:pPr>
        <w:pStyle w:val="ListParagraph"/>
        <w:numPr>
          <w:ilvl w:val="0"/>
          <w:numId w:val="2"/>
        </w:numPr>
        <w:spacing w:after="80"/>
      </w:pPr>
      <w:r>
        <w:t xml:space="preserve">src/phase4/decision.py -- the first concrete implementation of DecisionPolicyPort, wrapping the existing, frozen src.decision.policy.DecisionPolicy (reused, not rebuilt) to give Gen 3 a real ANSWER / ABSTAIN / REVIEW decision for the first time.</w:t>
      </w:r>
    </w:p>
    <w:p>
      <w:pPr>
        <w:pStyle w:val="ListParagraph"/>
        <w:numPr>
          <w:ilvl w:val="0"/>
          <w:numId w:val="2"/>
        </w:numPr>
        <w:spacing w:after="80"/>
      </w:pPr>
      <w:r>
        <w:t xml:space="preserve">src/phase4/recovery.py -- concrete Planner, SafetyGate, Executor, and Validator implementations. Execution is real, not simulated, for retry and restart: both re-invoke the controlled runtime's own subprocess boundary. The validator independently re-derives the outcome from the new run's raw events -- never from what the executor reports -- verified by a test that feeds the validator a deliberately lying executor.</w:t>
      </w:r>
    </w:p>
    <w:p>
      <w:pPr>
        <w:pStyle w:val="ListParagraph"/>
        <w:numPr>
          <w:ilvl w:val="0"/>
          <w:numId w:val="2"/>
        </w:numPr>
        <w:spacing w:after="80"/>
      </w:pPr>
      <w:r>
        <w:t xml:space="preserve">src/phase4/learning.py -- the recovery-outcome-to-memory feedback loop; the only code path permitted to write to the memory store, and only after a validation outcome exists.</w:t>
      </w:r>
    </w:p>
    <w:p>
      <w:pPr>
        <w:pStyle w:val="ListParagraph"/>
        <w:numPr>
          <w:ilvl w:val="0"/>
          <w:numId w:val="2"/>
        </w:numPr>
        <w:spacing w:after="80"/>
      </w:pPr>
      <w:r>
        <w:t xml:space="preserve">src/phase4/pipeline.py -- AutonomyPipeline, the first implementation that actually walks the project's own AutonomyState machine (already defined in architecture.py since the Gen 3 restart, but never previously driven end to end) from RECEIVED through OBSERVING, PREDICTED, DECIDING, DIAGNOSING, PLANNING, SAFETY_CHECK, EXECUTING, VALIDATING, to RECOVERED / NOT_RECOVERED / ABSTAINED / COMPLETED.</w:t>
      </w:r>
    </w:p>
    <w:p>
      <w:pPr>
        <w:pStyle w:val="ListParagraph"/>
        <w:numPr>
          <w:ilvl w:val="0"/>
          <w:numId w:val="2"/>
        </w:numPr>
        <w:spacing w:after="80"/>
      </w:pPr>
      <w:r>
        <w:t xml:space="preserve">Extended diagnosis.py with an optional, backward-compatible memory-aware evidence branch and a NETWORK_FAILURE class; extended monitoring.py with network-failure detection and a sustained-anomaly HIGH-severity escalation (a second, temporally-aggregating detection capability, not just the original single fixed threshold); extended controlled_runtime.py with network and memory-pressure workload modes and an explicit, stable workload_id parameter so a “recurring workload” is representable across separate runs -- required for the memory contract to ever have anything to retrieve.</w:t>
      </w:r>
    </w:p>
    <w:p>
      <w:pPr>
        <w:pStyle w:val="Heading2"/>
        <w:spacing w:after="140" w:before="280"/>
      </w:pPr>
      <w:r>
        <w:t xml:space="preserve">11.2 Verification</w:t>
      </w:r>
    </w:p>
    <w:p>
      <w:pPr>
        <w:spacing w:after="160"/>
      </w:pPr>
      <w:r>
        <w:rPr>
          <w:b w:val="false"/>
          <w:bCs w:val="false"/>
          <w:i w:val="false"/>
          <w:iCs w:val="false"/>
        </w:rPr>
        <w:t xml:space="preserve">36 new tests were added (unit and integration), all exercising the real ControlledRuntime subprocess boundary with no mocking of the runtime itself. The full repository test suite was run in a clean Linux sandbox built from requirements.txt: 632 passed / 17 skipped before this change, 668 passed / 17 skipped after (632 + 36, zero regressions).</w:t>
      </w:r>
    </w:p>
    <w:p>
      <w:pPr>
        <w:spacing w:after="160"/>
      </w:pPr>
      <w:r>
        <w:rPr>
          <w:b w:val="false"/>
          <w:bCs w:val="false"/>
          <w:i w:val="false"/>
          <w:iCs w:val="false"/>
        </w:rPr>
        <w:t xml:space="preserve">scripts/run_phase4_5_pipeline_demo.py produces independent end-to-end evidence under experiments/results/phase4_4_autonomy_pipeline/results.json:</w:t>
      </w:r>
    </w:p>
    <w:p>
      <w:pPr>
        <w:pStyle w:val="ListParagraph"/>
        <w:numPr>
          <w:ilvl w:val="0"/>
          <w:numId w:val="2"/>
        </w:numPr>
        <w:spacing w:after="80"/>
      </w:pPr>
      <w:r>
        <w:t xml:space="preserve">Six closed-loop episodes, including a three-incident run against the same recurring workload_id: the first incident tries the planner's default action (restart) with no memory; by the third incident, memory shows two consecutive restart failures for this exact workload/failure_class, and the planner switches to the next candidate action instead -- memory measurably changing an autonomous decision, not merely being retrieved and ignored.</w:t>
      </w:r>
    </w:p>
    <w:p>
      <w:pPr>
        <w:pStyle w:val="ListParagraph"/>
        <w:numPr>
          <w:ilvl w:val="0"/>
          <w:numId w:val="2"/>
        </w:numPr>
        <w:spacing w:after="80"/>
      </w:pPr>
      <w:r>
        <w:t xml:space="preserve">A six-case adversarial safety matrix (FORCE_RESTART and an out-of-vocabulary action probed against every supported failure class): 0 incorrectly authorized.</w:t>
      </w:r>
    </w:p>
    <w:p>
      <w:pPr>
        <w:pStyle w:val="ListParagraph"/>
        <w:numPr>
          <w:ilvl w:val="0"/>
          <w:numId w:val="2"/>
        </w:numPr>
        <w:spacing w:after="80"/>
      </w:pPr>
      <w:r>
        <w:t xml:space="preserve">An honestly-reported prediction evaluation: 0 of 5 true positives at the predictor's default 0.5 decision threshold on this small sample. This number was not adjusted after seeing it -- the module's own documentation commits to fixing weights and thresholds before evaluation, the same discipline Phase 3/4's frozen protocols used, and a weak first-pass predictor is a more honest place to leave this document than a retroactively flattering one.</w:t>
      </w:r>
    </w:p>
    <w:p>
      <w:pPr>
        <w:pStyle w:val="Heading2"/>
        <w:spacing w:after="140" w:before="280"/>
      </w:pPr>
      <w:r>
        <w:t xml:space="preserve">11.3 What this does and does not establish</w:t>
      </w:r>
    </w:p>
    <w:p>
      <w:pPr>
        <w:spacing w:after="160"/>
      </w:pPr>
      <w:r>
        <w:rPr>
          <w:b w:val="false"/>
          <w:bCs w:val="false"/>
          <w:i w:val="false"/>
          <w:iCs w:val="false"/>
        </w:rPr>
        <w:t xml:space="preserve">This closes the specific architectural gap the audit identified: Gen 3 now has a real, tested, end-to-end path from observation to a learned recovery decision, with memory demonstrably influencing that decision and a safety gate demonstrably rejecting unsafe proposals. It does not establish production reliability, live-telemetry operation, or statistically powered evidence that the recovery policy or the predictor outperform a baseline -- exactly the same claim boundary V1 held itself to, and exactly the same category of claim Phase 3/4's negative and inconclusive results warn against overstating. The honest next steps are a larger, pre-registered evaluation of the predictor and planner (following the same protocol discipline as Phase 3), and a second controlled environment to test whether Gen 3's behavior generalizes beyond the single machine it has been validated on so far.</w:t>
      </w:r>
    </w:p>
    <w:p>
      <w:pPr>
        <w:pStyle w:val="Heading1"/>
        <w:spacing w:after="140" w:before="280"/>
      </w:pPr>
      <w:r>
        <w:t xml:space="preserve">12. Supporting documents folded into this record</w:t>
      </w:r>
    </w:p>
    <w:p>
      <w:pPr>
        <w:spacing w:after="160"/>
      </w:pPr>
      <w:r>
        <w:rPr>
          <w:b w:val="false"/>
          <w:bCs w:val="false"/>
          <w:i w:val="false"/>
          <w:iCs w:val="false"/>
        </w:rPr>
        <w:t xml:space="preserve">DATA_SETUP.md documents the marker-file mechanism that lets real-data-gated tests run without needing multi-gigabyte raw archives present, and is worth preserving verbatim in the archive because it explains a recurring test-count discrepancy: the “full suite” count has drifted at least twice as later phases added tests without every document being re-verified against it. Its own advice -- trust a fresh pytest --collect-only over any written count, including the ones in this document -- applies here too.</w:t>
      </w:r>
    </w:p>
    <w:p>
      <w:pPr>
        <w:spacing w:after="160"/>
      </w:pPr>
      <w:r>
        <w:rPr>
          <w:b w:val="false"/>
          <w:bCs w:val="false"/>
          <w:i w:val="false"/>
          <w:iCs w:val="false"/>
        </w:rPr>
        <w:t xml:space="preserve">SCHEMA.md remains the canonical description of the ReliabilityEvent contract and the explicit regression guard against the Phase 1 189.61-scale bug (confidence and risk fields are always constrained to [0.0, 1.0]). It is preserved in the archive and remains directly relevant to anyone extending src/schema/events.py.</w:t>
      </w:r>
    </w:p>
    <w:p>
      <w:pPr>
        <w:pStyle w:val="Heading1"/>
        <w:spacing w:after="140" w:before="280"/>
      </w:pPr>
      <w:r>
        <w:t xml:space="preserve">13. Where everything went</w:t>
      </w:r>
    </w:p>
    <w:p>
      <w:pPr>
        <w:spacing w:after="160"/>
      </w:pPr>
      <w:r>
        <w:rPr>
          <w:b w:val="false"/>
          <w:bCs w:val="false"/>
          <w:i w:val="false"/>
          <w:iCs w:val="false"/>
        </w:rPr>
        <w:t xml:space="preserve">All 56 original documents that this report consolidates are preserved, unmodified, under docs/archive/ in the repository, and remain fully available in git history regardless. Nothing referenced by any test or script was moved out of a path anything depends on -- this was verified by searching the entire src/, tests/, scripts/, and benchmarks/ trees for programmatic reads of docs/*.md before moving anything; the only file reads found were of dated run artifacts under experiments/results/, which were left exactly where they are.</w:t>
      </w:r>
    </w:p>
    <w:p>
      <w:pPr>
        <w:pBdr>
          <w:left w:val="single" w:color="AAAAAA" w:sz="12" w:space="8"/>
        </w:pBdr>
        <w:spacing w:after="160"/>
        <w:ind w:left="200"/>
      </w:pPr>
      <w:r>
        <w:rPr>
          <w:i/>
          <w:iCs/>
          <w:color w:val="555555"/>
        </w:rPr>
        <w:t xml:space="preserve">This document is the reference going forward. When a future session needs the exact original wording of a frozen protocol or a full results table, docs/archive/&lt;original filename&gt;.md is still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2026-08-23T14:46:10.857Z</dcterms:created>
  <dcterms:modified xsi:type="dcterms:W3CDTF">2026-08-23T14:46:10.858Z</dcterms:modified>
</cp:coreProperties>
</file>

<file path=docProps/custom.xml><?xml version="1.0" encoding="utf-8"?>
<Properties xmlns="http://schemas.openxmlformats.org/officeDocument/2006/custom-properties" xmlns:vt="http://schemas.openxmlformats.org/officeDocument/2006/docPropsVTypes"/>
</file>