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pacing w:val="30"/>
          <w:sz w:val="22"/>
          <w:szCs w:val="22"/>
        </w:rPr>
        <w:t xml:space="preserve">PROJECT PROPOSAL</w:t>
      </w:r>
    </w:p>
    <w:p>
      <w:pPr>
        <w:spacing w:after="100" w:before="100"/>
        <w:jc w:val="center"/>
      </w:pPr>
      <w:r>
        <w:rPr>
          <w:b/>
          <w:bCs/>
          <w:color w:val="1F4E79"/>
          <w:sz w:val="44"/>
          <w:szCs w:val="44"/>
        </w:rPr>
        <w:t xml:space="preserve">AI College Assistant</w:t>
      </w:r>
    </w:p>
    <w:p>
      <w:pPr>
        <w:spacing w:after="300"/>
        <w:jc w:val="center"/>
      </w:pPr>
      <w:r>
        <w:rPr>
          <w:i/>
          <w:iCs/>
          <w:color w:val="595959"/>
          <w:sz w:val="22"/>
          <w:szCs w:val="22"/>
        </w:rPr>
        <w:t xml:space="preserve">A RAG-Based Conversational Assistant for Campus Information and Academic Support</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000"/>
      </w:tblGrid>
      <w:tr>
        <w:tc>
          <w:tcPr>
            <w:tcW w:type="dxa" w:w="2400"/>
            <w:shd w:fill="DCE6F1" w:val="clear"/>
            <w:tcMar>
              <w:top w:type="dxa" w:w="100"/>
              <w:left w:type="dxa" w:w="120"/>
              <w:bottom w:type="dxa" w:w="100"/>
              <w:right w:type="dxa" w:w="120"/>
            </w:tcMar>
          </w:tcPr>
          <w:p>
            <w:r>
              <w:rPr>
                <w:b/>
                <w:bCs/>
                <w:sz w:val="21"/>
                <w:szCs w:val="21"/>
              </w:rPr>
              <w:t xml:space="preserve">Submitted by</w:t>
            </w:r>
          </w:p>
        </w:tc>
        <w:tc>
          <w:tcPr>
            <w:tcW w:type="dxa" w:w="7000"/>
            <w:shd w:fill="DCE6F1" w:val="clear"/>
            <w:tcMar>
              <w:top w:type="dxa" w:w="100"/>
              <w:left w:type="dxa" w:w="120"/>
              <w:bottom w:type="dxa" w:w="100"/>
              <w:right w:type="dxa" w:w="120"/>
            </w:tcMar>
          </w:tcPr>
          <w:p>
            <w:r>
              <w:rPr>
                <w:sz w:val="21"/>
                <w:szCs w:val="21"/>
              </w:rPr>
              <w:t xml:space="preserve">Naitik</w:t>
            </w:r>
          </w:p>
        </w:tc>
      </w:tr>
      <w:tr>
        <w:tc>
          <w:tcPr>
            <w:tcW w:type="dxa" w:w="2400"/>
            <w:tcMar>
              <w:top w:type="dxa" w:w="100"/>
              <w:left w:type="dxa" w:w="120"/>
              <w:bottom w:type="dxa" w:w="100"/>
              <w:right w:type="dxa" w:w="120"/>
            </w:tcMar>
          </w:tcPr>
          <w:p>
            <w:r>
              <w:rPr>
                <w:b/>
                <w:bCs/>
                <w:sz w:val="21"/>
                <w:szCs w:val="21"/>
              </w:rPr>
              <w:t xml:space="preserve">Program</w:t>
            </w:r>
          </w:p>
        </w:tc>
        <w:tc>
          <w:tcPr>
            <w:tcW w:type="dxa" w:w="7000"/>
            <w:tcMar>
              <w:top w:type="dxa" w:w="100"/>
              <w:left w:type="dxa" w:w="120"/>
              <w:bottom w:type="dxa" w:w="100"/>
              <w:right w:type="dxa" w:w="120"/>
            </w:tcMar>
          </w:tcPr>
          <w:p>
            <w:r>
              <w:rPr>
                <w:sz w:val="21"/>
                <w:szCs w:val="21"/>
              </w:rPr>
              <w:t xml:space="preserve">B.Tech, Computer Science Engineering (AI &amp; ML)</w:t>
            </w:r>
          </w:p>
        </w:tc>
      </w:tr>
      <w:tr>
        <w:tc>
          <w:tcPr>
            <w:tcW w:type="dxa" w:w="2400"/>
            <w:shd w:fill="DCE6F1" w:val="clear"/>
            <w:tcMar>
              <w:top w:type="dxa" w:w="100"/>
              <w:left w:type="dxa" w:w="120"/>
              <w:bottom w:type="dxa" w:w="100"/>
              <w:right w:type="dxa" w:w="120"/>
            </w:tcMar>
          </w:tcPr>
          <w:p>
            <w:r>
              <w:rPr>
                <w:b/>
                <w:bCs/>
                <w:sz w:val="21"/>
                <w:szCs w:val="21"/>
              </w:rPr>
              <w:t xml:space="preserve">Institution</w:t>
            </w:r>
          </w:p>
        </w:tc>
        <w:tc>
          <w:tcPr>
            <w:tcW w:type="dxa" w:w="7000"/>
            <w:shd w:fill="DCE6F1" w:val="clear"/>
            <w:tcMar>
              <w:top w:type="dxa" w:w="100"/>
              <w:left w:type="dxa" w:w="120"/>
              <w:bottom w:type="dxa" w:w="100"/>
              <w:right w:type="dxa" w:w="120"/>
            </w:tcMar>
          </w:tcPr>
          <w:p>
            <w:r>
              <w:rPr>
                <w:sz w:val="21"/>
                <w:szCs w:val="21"/>
              </w:rPr>
              <w:t xml:space="preserve">GLA University, Mathura, Uttar Pradesh</w:t>
            </w:r>
          </w:p>
        </w:tc>
      </w:tr>
      <w:tr>
        <w:tc>
          <w:tcPr>
            <w:tcW w:type="dxa" w:w="2400"/>
            <w:tcMar>
              <w:top w:type="dxa" w:w="100"/>
              <w:left w:type="dxa" w:w="120"/>
              <w:bottom w:type="dxa" w:w="100"/>
              <w:right w:type="dxa" w:w="120"/>
            </w:tcMar>
          </w:tcPr>
          <w:p>
            <w:r>
              <w:rPr>
                <w:b/>
                <w:bCs/>
                <w:sz w:val="21"/>
                <w:szCs w:val="21"/>
              </w:rPr>
              <w:t xml:space="preserve">Year</w:t>
            </w:r>
          </w:p>
        </w:tc>
        <w:tc>
          <w:tcPr>
            <w:tcW w:type="dxa" w:w="7000"/>
            <w:tcMar>
              <w:top w:type="dxa" w:w="100"/>
              <w:left w:type="dxa" w:w="120"/>
              <w:bottom w:type="dxa" w:w="100"/>
              <w:right w:type="dxa" w:w="120"/>
            </w:tcMar>
          </w:tcPr>
          <w:p>
            <w:r>
              <w:rPr>
                <w:sz w:val="21"/>
                <w:szCs w:val="21"/>
              </w:rPr>
              <w:t xml:space="preserve">Third Year (2024–2028)</w:t>
            </w:r>
          </w:p>
        </w:tc>
      </w:tr>
      <w:tr>
        <w:tc>
          <w:tcPr>
            <w:tcW w:type="dxa" w:w="2400"/>
            <w:shd w:fill="DCE6F1" w:val="clear"/>
            <w:tcMar>
              <w:top w:type="dxa" w:w="100"/>
              <w:left w:type="dxa" w:w="120"/>
              <w:bottom w:type="dxa" w:w="100"/>
              <w:right w:type="dxa" w:w="120"/>
            </w:tcMar>
          </w:tcPr>
          <w:p>
            <w:r>
              <w:rPr>
                <w:b/>
                <w:bCs/>
                <w:sz w:val="21"/>
                <w:szCs w:val="21"/>
              </w:rPr>
              <w:t xml:space="preserve">Date</w:t>
            </w:r>
          </w:p>
        </w:tc>
        <w:tc>
          <w:tcPr>
            <w:tcW w:type="dxa" w:w="7000"/>
            <w:shd w:fill="DCE6F1" w:val="clear"/>
            <w:tcMar>
              <w:top w:type="dxa" w:w="100"/>
              <w:left w:type="dxa" w:w="120"/>
              <w:bottom w:type="dxa" w:w="100"/>
              <w:right w:type="dxa" w:w="120"/>
            </w:tcMar>
          </w:tcPr>
          <w:p>
            <w:r>
              <w:rPr>
                <w:sz w:val="21"/>
                <w:szCs w:val="21"/>
              </w:rPr>
              <w:t xml:space="preserve">4 August 2026</w:t>
            </w:r>
          </w:p>
        </w:tc>
      </w:tr>
    </w:tbl>
    <w:p>
      <w:pPr>
        <w:spacing w:after="200"/>
      </w:pPr>
    </w:p>
    <w:p>
      <w:pPr>
        <w:pStyle w:val="Heading1"/>
        <w:pBdr>
          <w:bottom w:val="single" w:color="1F4E79" w:sz="8" w:space="4"/>
        </w:pBdr>
        <w:spacing w:after="160" w:before="320"/>
      </w:pPr>
      <w:r>
        <w:rPr>
          <w:b/>
          <w:bCs/>
          <w:color w:val="1F4E79"/>
          <w:sz w:val="28"/>
          <w:szCs w:val="28"/>
        </w:rPr>
        <w:t xml:space="preserve">1. Executive Summary</w:t>
      </w:r>
    </w:p>
    <w:p>
      <w:pPr>
        <w:spacing w:after="160" w:line="276"/>
        <w:jc w:val="both"/>
      </w:pPr>
      <w:r>
        <w:rPr>
          <w:sz w:val="22"/>
          <w:szCs w:val="22"/>
        </w:rPr>
        <w:t xml:space="preserve">The AI College Assistant is a proposed RAG-based (Retrieval-Augmented Generation) conversational system designed to help students quickly access campus information and academic support through natural-language queries. Instead of navigating multiple college portals, notice boards, and scattered study material, students will be able to ask direct questions — such as fee deadlines, attendance status, or a specific syllabus module — and receive accurate, contextual answers instantly.</w:t>
      </w:r>
    </w:p>
    <w:p>
      <w:pPr>
        <w:spacing w:after="160" w:line="276"/>
        <w:jc w:val="both"/>
      </w:pPr>
      <w:r>
        <w:rPr>
          <w:sz w:val="22"/>
          <w:szCs w:val="22"/>
        </w:rPr>
        <w:t xml:space="preserve">The project is designed to be built and hosted entirely on free-tier cloud services, making it a zero-cost, student-executable initiative that can be piloted within the department before a wider rollout.</w:t>
      </w:r>
    </w:p>
    <w:p>
      <w:pPr>
        <w:pStyle w:val="Heading1"/>
        <w:pBdr>
          <w:bottom w:val="single" w:color="1F4E79" w:sz="8" w:space="4"/>
        </w:pBdr>
        <w:spacing w:after="160" w:before="320"/>
      </w:pPr>
      <w:r>
        <w:rPr>
          <w:b/>
          <w:bCs/>
          <w:color w:val="1F4E79"/>
          <w:sz w:val="28"/>
          <w:szCs w:val="28"/>
        </w:rPr>
        <w:t xml:space="preserve">2. Problem Statement</w:t>
      </w:r>
    </w:p>
    <w:p>
      <w:pPr>
        <w:spacing w:after="160" w:line="276"/>
        <w:jc w:val="both"/>
      </w:pPr>
      <w:r>
        <w:rPr>
          <w:sz w:val="22"/>
          <w:szCs w:val="22"/>
        </w:rPr>
        <w:t xml:space="preserve">Students currently rely on fragmented sources for essential academic information:</w:t>
      </w:r>
    </w:p>
    <w:p>
      <w:pPr>
        <w:pStyle w:val="ListParagraph"/>
        <w:numPr>
          <w:ilvl w:val="0"/>
          <w:numId w:val="2"/>
        </w:numPr>
        <w:spacing w:after="90" w:line="276"/>
      </w:pPr>
      <w:r>
        <w:rPr>
          <w:b w:val="false"/>
          <w:bCs w:val="false"/>
          <w:sz w:val="22"/>
          <w:szCs w:val="22"/>
        </w:rPr>
        <w:t xml:space="preserve">Fee deadlines and notices are posted on college portals or physical noticeboards, easy to miss.</w:t>
      </w:r>
    </w:p>
    <w:p>
      <w:pPr>
        <w:pStyle w:val="ListParagraph"/>
        <w:numPr>
          <w:ilvl w:val="0"/>
          <w:numId w:val="2"/>
        </w:numPr>
        <w:spacing w:after="90" w:line="276"/>
      </w:pPr>
      <w:r>
        <w:rPr>
          <w:b w:val="false"/>
          <w:bCs w:val="false"/>
          <w:sz w:val="22"/>
          <w:szCs w:val="22"/>
        </w:rPr>
        <w:t xml:space="preserve">Subject notes are scattered across WhatsApp groups, drives, and printed handouts of varying quality.</w:t>
      </w:r>
    </w:p>
    <w:p>
      <w:pPr>
        <w:pStyle w:val="ListParagraph"/>
        <w:numPr>
          <w:ilvl w:val="0"/>
          <w:numId w:val="2"/>
        </w:numPr>
        <w:spacing w:after="90" w:line="276"/>
      </w:pPr>
      <w:r>
        <w:rPr>
          <w:b w:val="false"/>
          <w:bCs w:val="false"/>
          <w:sz w:val="22"/>
          <w:szCs w:val="22"/>
        </w:rPr>
        <w:t xml:space="preserve">Attendance and eligibility status require manually logging into the ERP and calculating percentages.</w:t>
      </w:r>
    </w:p>
    <w:p>
      <w:pPr>
        <w:pStyle w:val="ListParagraph"/>
        <w:numPr>
          <w:ilvl w:val="0"/>
          <w:numId w:val="2"/>
        </w:numPr>
        <w:spacing w:after="90" w:line="276"/>
      </w:pPr>
      <w:r>
        <w:rPr>
          <w:b w:val="false"/>
          <w:bCs w:val="false"/>
          <w:sz w:val="22"/>
          <w:szCs w:val="22"/>
        </w:rPr>
        <w:t xml:space="preserve">Doubts about syllabus modules often go unanswered outside class hours.</w:t>
      </w:r>
    </w:p>
    <w:p>
      <w:pPr>
        <w:spacing w:after="160" w:line="276"/>
        <w:jc w:val="both"/>
      </w:pPr>
      <w:r>
        <w:rPr>
          <w:sz w:val="22"/>
          <w:szCs w:val="22"/>
        </w:rPr>
        <w:t xml:space="preserve">This fragmentation costs students time and leads to missed deadlines and inconsistent exam preparation. A single, always-available assistant addresses this gap directly.</w:t>
      </w:r>
    </w:p>
    <w:p>
      <w:pPr>
        <w:pStyle w:val="Heading1"/>
        <w:pBdr>
          <w:bottom w:val="single" w:color="1F4E79" w:sz="8" w:space="4"/>
        </w:pBdr>
        <w:spacing w:after="160" w:before="320"/>
      </w:pPr>
      <w:r>
        <w:rPr>
          <w:b/>
          <w:bCs/>
          <w:color w:val="1F4E79"/>
          <w:sz w:val="28"/>
          <w:szCs w:val="28"/>
        </w:rPr>
        <w:t xml:space="preserve">3. Objectives</w:t>
      </w:r>
    </w:p>
    <w:p>
      <w:pPr>
        <w:pStyle w:val="ListParagraph"/>
        <w:numPr>
          <w:ilvl w:val="0"/>
          <w:numId w:val="2"/>
        </w:numPr>
        <w:spacing w:after="90" w:line="276"/>
      </w:pPr>
      <w:r>
        <w:rPr>
          <w:b w:val="false"/>
          <w:bCs w:val="false"/>
          <w:sz w:val="22"/>
          <w:szCs w:val="22"/>
        </w:rPr>
        <w:t xml:space="preserve">To design a conversational assistant that answers academic and administrative queries in natural language.</w:t>
      </w:r>
    </w:p>
    <w:p>
      <w:pPr>
        <w:pStyle w:val="ListParagraph"/>
        <w:numPr>
          <w:ilvl w:val="0"/>
          <w:numId w:val="2"/>
        </w:numPr>
        <w:spacing w:after="90" w:line="276"/>
      </w:pPr>
      <w:r>
        <w:rPr>
          <w:b w:val="false"/>
          <w:bCs w:val="false"/>
          <w:sz w:val="22"/>
          <w:szCs w:val="22"/>
        </w:rPr>
        <w:t xml:space="preserve">To enable students to upload and query their own study material (PDFs, notes) through the assistant.</w:t>
      </w:r>
    </w:p>
    <w:p>
      <w:pPr>
        <w:pStyle w:val="ListParagraph"/>
        <w:numPr>
          <w:ilvl w:val="0"/>
          <w:numId w:val="2"/>
        </w:numPr>
        <w:spacing w:after="90" w:line="276"/>
      </w:pPr>
      <w:r>
        <w:rPr>
          <w:b w:val="false"/>
          <w:bCs w:val="false"/>
          <w:sz w:val="22"/>
          <w:szCs w:val="22"/>
        </w:rPr>
        <w:t xml:space="preserve">To summarize official college notices and circulars into short, readable updates.</w:t>
      </w:r>
    </w:p>
    <w:p>
      <w:pPr>
        <w:pStyle w:val="ListParagraph"/>
        <w:numPr>
          <w:ilvl w:val="0"/>
          <w:numId w:val="2"/>
        </w:numPr>
        <w:spacing w:after="90" w:line="276"/>
      </w:pPr>
      <w:r>
        <w:rPr>
          <w:b w:val="false"/>
          <w:bCs w:val="false"/>
          <w:sz w:val="22"/>
          <w:szCs w:val="22"/>
        </w:rPr>
        <w:t xml:space="preserve">To build the system using entirely free and open-source tools, keeping it viable for student-level execution.</w:t>
      </w:r>
    </w:p>
    <w:p>
      <w:pPr>
        <w:pStyle w:val="ListParagraph"/>
        <w:numPr>
          <w:ilvl w:val="0"/>
          <w:numId w:val="2"/>
        </w:numPr>
        <w:spacing w:after="90" w:line="276"/>
      </w:pPr>
      <w:r>
        <w:rPr>
          <w:b w:val="false"/>
          <w:bCs w:val="false"/>
          <w:sz w:val="22"/>
          <w:szCs w:val="22"/>
        </w:rPr>
        <w:t xml:space="preserve">To create an extensible architecture that can later support live attendance and timetable integration.</w:t>
      </w:r>
    </w:p>
    <w:p>
      <w:pPr>
        <w:pStyle w:val="Heading1"/>
        <w:pBdr>
          <w:bottom w:val="single" w:color="1F4E79" w:sz="8" w:space="4"/>
        </w:pBdr>
        <w:spacing w:after="160" w:before="320"/>
      </w:pPr>
      <w:r>
        <w:rPr>
          <w:b/>
          <w:bCs/>
          <w:color w:val="1F4E79"/>
          <w:sz w:val="28"/>
          <w:szCs w:val="28"/>
        </w:rPr>
        <w:t xml:space="preserve">4. Proposed Features</w:t>
      </w:r>
    </w:p>
    <w:p>
      <w:pPr>
        <w:spacing w:after="160" w:line="276"/>
        <w:jc w:val="both"/>
      </w:pPr>
      <w:r>
        <w:rPr>
          <w:sz w:val="22"/>
          <w:szCs w:val="22"/>
        </w:rPr>
        <w:t xml:space="preserve">The project is scoped into a core MVP (Minimum Viable Product) and a future roadmap, ensuring a working, demonstrable system within the project timeline.</w:t>
      </w:r>
    </w:p>
    <w:p>
      <w:pPr>
        <w:pStyle w:val="Heading2"/>
        <w:spacing w:after="100" w:before="220"/>
      </w:pPr>
      <w:r>
        <w:rPr>
          <w:b/>
          <w:bCs/>
          <w:color w:val="1F4E79"/>
          <w:sz w:val="24"/>
          <w:szCs w:val="24"/>
        </w:rPr>
        <w:t xml:space="preserve">4.1 Core Features (MVP)</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00"/>
      </w:tblGrid>
      <w:tr>
        <w:trPr>
          <w:tblHeader/>
        </w:trPr>
        <w:tc>
          <w:tcPr>
            <w:tcW w:type="dxa" w:w="2600"/>
            <w:shd w:fill="1F4E79" w:val="clear"/>
            <w:tcMar>
              <w:top w:type="dxa" w:w="90"/>
              <w:left w:type="dxa" w:w="120"/>
              <w:bottom w:type="dxa" w:w="90"/>
              <w:right w:type="dxa" w:w="120"/>
            </w:tcMar>
          </w:tcPr>
          <w:p>
            <w:r>
              <w:rPr>
                <w:b/>
                <w:bCs/>
                <w:color w:val="FFFFFF"/>
                <w:sz w:val="21"/>
                <w:szCs w:val="21"/>
              </w:rPr>
              <w:t xml:space="preserve">Feature</w:t>
            </w:r>
          </w:p>
        </w:tc>
        <w:tc>
          <w:tcPr>
            <w:tcW w:type="dxa" w:w="6800"/>
            <w:shd w:fill="1F4E79" w:val="clear"/>
            <w:tcMar>
              <w:top w:type="dxa" w:w="90"/>
              <w:left w:type="dxa" w:w="120"/>
              <w:bottom w:type="dxa" w:w="90"/>
              <w:right w:type="dxa" w:w="120"/>
            </w:tcMar>
          </w:tcPr>
          <w:p>
            <w:r>
              <w:rPr>
                <w:b/>
                <w:bCs/>
                <w:color w:val="FFFFFF"/>
                <w:sz w:val="21"/>
                <w:szCs w:val="21"/>
              </w:rPr>
              <w:t xml:space="preserve">Description</w:t>
            </w:r>
          </w:p>
        </w:tc>
      </w:tr>
      <w:tr>
        <w:tc>
          <w:tcPr>
            <w:tcW w:type="dxa" w:w="2600"/>
            <w:shd w:fill="DCE6F1" w:val="clear"/>
            <w:tcMar>
              <w:top w:type="dxa" w:w="90"/>
              <w:left w:type="dxa" w:w="120"/>
              <w:bottom w:type="dxa" w:w="90"/>
              <w:right w:type="dxa" w:w="120"/>
            </w:tcMar>
          </w:tcPr>
          <w:p>
            <w:r>
              <w:rPr>
                <w:b/>
                <w:bCs/>
                <w:sz w:val="20"/>
                <w:szCs w:val="20"/>
              </w:rPr>
              <w:t xml:space="preserve">PDF Chat</w:t>
            </w:r>
          </w:p>
        </w:tc>
        <w:tc>
          <w:tcPr>
            <w:tcW w:type="dxa" w:w="6800"/>
            <w:shd w:fill="DCE6F1" w:val="clear"/>
            <w:tcMar>
              <w:top w:type="dxa" w:w="90"/>
              <w:left w:type="dxa" w:w="120"/>
              <w:bottom w:type="dxa" w:w="90"/>
              <w:right w:type="dxa" w:w="120"/>
            </w:tcMar>
          </w:tcPr>
          <w:p>
            <w:r>
              <w:rPr>
                <w:sz w:val="20"/>
                <w:szCs w:val="20"/>
              </w:rPr>
              <w:t xml:space="preserve">Students upload subject notes or textbooks (PDF); the assistant answers questions grounded strictly in that document using a retrieval-augmented pipeline.</w:t>
            </w:r>
          </w:p>
        </w:tc>
      </w:tr>
      <w:tr>
        <w:tc>
          <w:tcPr>
            <w:tcW w:type="dxa" w:w="2600"/>
            <w:tcMar>
              <w:top w:type="dxa" w:w="90"/>
              <w:left w:type="dxa" w:w="120"/>
              <w:bottom w:type="dxa" w:w="90"/>
              <w:right w:type="dxa" w:w="120"/>
            </w:tcMar>
          </w:tcPr>
          <w:p>
            <w:r>
              <w:rPr>
                <w:b/>
                <w:bCs/>
                <w:sz w:val="20"/>
                <w:szCs w:val="20"/>
              </w:rPr>
              <w:t xml:space="preserve">Notice Summarizer</w:t>
            </w:r>
          </w:p>
        </w:tc>
        <w:tc>
          <w:tcPr>
            <w:tcW w:type="dxa" w:w="6800"/>
            <w:tcMar>
              <w:top w:type="dxa" w:w="90"/>
              <w:left w:type="dxa" w:w="120"/>
              <w:bottom w:type="dxa" w:w="90"/>
              <w:right w:type="dxa" w:w="120"/>
            </w:tcMar>
          </w:tcPr>
          <w:p>
            <w:r>
              <w:rPr>
                <w:sz w:val="20"/>
                <w:szCs w:val="20"/>
              </w:rPr>
              <w:t xml:space="preserve">Official college notices/circulars are condensed into short, plain-language summaries with key dates highlighted.</w:t>
            </w:r>
          </w:p>
        </w:tc>
      </w:tr>
      <w:tr>
        <w:tc>
          <w:tcPr>
            <w:tcW w:type="dxa" w:w="2600"/>
            <w:shd w:fill="DCE6F1" w:val="clear"/>
            <w:tcMar>
              <w:top w:type="dxa" w:w="90"/>
              <w:left w:type="dxa" w:w="120"/>
              <w:bottom w:type="dxa" w:w="90"/>
              <w:right w:type="dxa" w:w="120"/>
            </w:tcMar>
          </w:tcPr>
          <w:p>
            <w:r>
              <w:rPr>
                <w:b/>
                <w:bCs/>
                <w:sz w:val="20"/>
                <w:szCs w:val="20"/>
              </w:rPr>
              <w:t xml:space="preserve">Notes Q&amp;A</w:t>
            </w:r>
          </w:p>
        </w:tc>
        <w:tc>
          <w:tcPr>
            <w:tcW w:type="dxa" w:w="6800"/>
            <w:shd w:fill="DCE6F1" w:val="clear"/>
            <w:tcMar>
              <w:top w:type="dxa" w:w="90"/>
              <w:left w:type="dxa" w:w="120"/>
              <w:bottom w:type="dxa" w:w="90"/>
              <w:right w:type="dxa" w:w="120"/>
            </w:tcMar>
          </w:tcPr>
          <w:p>
            <w:r>
              <w:rPr>
                <w:sz w:val="20"/>
                <w:szCs w:val="20"/>
              </w:rPr>
              <w:t xml:space="preserve">Students ask subject/module-specific questions (e.g. “Explain Module 4”) and receive answers grounded in the uploaded syllabus material.</w:t>
            </w:r>
          </w:p>
        </w:tc>
      </w:tr>
    </w:tbl>
    <w:p>
      <w:pPr>
        <w:spacing w:after="200"/>
      </w:pPr>
    </w:p>
    <w:p>
      <w:pPr>
        <w:pStyle w:val="Heading2"/>
        <w:spacing w:after="100" w:before="220"/>
      </w:pPr>
      <w:r>
        <w:rPr>
          <w:b/>
          <w:bCs/>
          <w:color w:val="1F4E79"/>
          <w:sz w:val="24"/>
          <w:szCs w:val="24"/>
        </w:rPr>
        <w:t xml:space="preserve">4.2 Future Roadmap (Post-MVP)</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00"/>
      </w:tblGrid>
      <w:tr>
        <w:trPr>
          <w:tblHeader/>
        </w:trPr>
        <w:tc>
          <w:tcPr>
            <w:tcW w:type="dxa" w:w="2600"/>
            <w:shd w:fill="1F4E79" w:val="clear"/>
            <w:tcMar>
              <w:top w:type="dxa" w:w="90"/>
              <w:left w:type="dxa" w:w="120"/>
              <w:bottom w:type="dxa" w:w="90"/>
              <w:right w:type="dxa" w:w="120"/>
            </w:tcMar>
          </w:tcPr>
          <w:p>
            <w:r>
              <w:rPr>
                <w:b/>
                <w:bCs/>
                <w:color w:val="FFFFFF"/>
                <w:sz w:val="21"/>
                <w:szCs w:val="21"/>
              </w:rPr>
              <w:t xml:space="preserve">Feature</w:t>
            </w:r>
          </w:p>
        </w:tc>
        <w:tc>
          <w:tcPr>
            <w:tcW w:type="dxa" w:w="6800"/>
            <w:shd w:fill="1F4E79" w:val="clear"/>
            <w:tcMar>
              <w:top w:type="dxa" w:w="90"/>
              <w:left w:type="dxa" w:w="120"/>
              <w:bottom w:type="dxa" w:w="90"/>
              <w:right w:type="dxa" w:w="120"/>
            </w:tcMar>
          </w:tcPr>
          <w:p>
            <w:r>
              <w:rPr>
                <w:b/>
                <w:bCs/>
                <w:color w:val="FFFFFF"/>
                <w:sz w:val="21"/>
                <w:szCs w:val="21"/>
              </w:rPr>
              <w:t xml:space="preserve">Description</w:t>
            </w:r>
          </w:p>
        </w:tc>
      </w:tr>
      <w:tr>
        <w:tc>
          <w:tcPr>
            <w:tcW w:type="dxa" w:w="2600"/>
            <w:shd w:fill="DCE6F1" w:val="clear"/>
            <w:tcMar>
              <w:top w:type="dxa" w:w="90"/>
              <w:left w:type="dxa" w:w="120"/>
              <w:bottom w:type="dxa" w:w="90"/>
              <w:right w:type="dxa" w:w="120"/>
            </w:tcMar>
          </w:tcPr>
          <w:p>
            <w:r>
              <w:rPr>
                <w:b/>
                <w:bCs/>
                <w:sz w:val="20"/>
                <w:szCs w:val="20"/>
              </w:rPr>
              <w:t xml:space="preserve">Assignment Helper</w:t>
            </w:r>
          </w:p>
        </w:tc>
        <w:tc>
          <w:tcPr>
            <w:tcW w:type="dxa" w:w="6800"/>
            <w:shd w:fill="DCE6F1" w:val="clear"/>
            <w:tcMar>
              <w:top w:type="dxa" w:w="90"/>
              <w:left w:type="dxa" w:w="120"/>
              <w:bottom w:type="dxa" w:w="90"/>
              <w:right w:type="dxa" w:w="120"/>
            </w:tcMar>
          </w:tcPr>
          <w:p>
            <w:r>
              <w:rPr>
                <w:sz w:val="20"/>
                <w:szCs w:val="20"/>
              </w:rPr>
              <w:t xml:space="preserve">Guided assistance for structuring and reviewing assignments (concept clarification, not answer generation).</w:t>
            </w:r>
          </w:p>
        </w:tc>
      </w:tr>
      <w:tr>
        <w:tc>
          <w:tcPr>
            <w:tcW w:type="dxa" w:w="2600"/>
            <w:tcMar>
              <w:top w:type="dxa" w:w="90"/>
              <w:left w:type="dxa" w:w="120"/>
              <w:bottom w:type="dxa" w:w="90"/>
              <w:right w:type="dxa" w:w="120"/>
            </w:tcMar>
          </w:tcPr>
          <w:p>
            <w:r>
              <w:rPr>
                <w:b/>
                <w:bCs/>
                <w:sz w:val="20"/>
                <w:szCs w:val="20"/>
              </w:rPr>
              <w:t xml:space="preserve">Attendance Tracking</w:t>
            </w:r>
          </w:p>
        </w:tc>
        <w:tc>
          <w:tcPr>
            <w:tcW w:type="dxa" w:w="6800"/>
            <w:tcMar>
              <w:top w:type="dxa" w:w="90"/>
              <w:left w:type="dxa" w:w="120"/>
              <w:bottom w:type="dxa" w:w="90"/>
              <w:right w:type="dxa" w:w="120"/>
            </w:tcMar>
          </w:tcPr>
          <w:p>
            <w:r>
              <w:rPr>
                <w:sz w:val="20"/>
                <w:szCs w:val="20"/>
              </w:rPr>
              <w:t xml:space="preserve">Displays attendance percentage and eligibility status, pending integration with the college ERP or manual data export.</w:t>
            </w:r>
          </w:p>
        </w:tc>
      </w:tr>
      <w:tr>
        <w:tc>
          <w:tcPr>
            <w:tcW w:type="dxa" w:w="2600"/>
            <w:shd w:fill="DCE6F1" w:val="clear"/>
            <w:tcMar>
              <w:top w:type="dxa" w:w="90"/>
              <w:left w:type="dxa" w:w="120"/>
              <w:bottom w:type="dxa" w:w="90"/>
              <w:right w:type="dxa" w:w="120"/>
            </w:tcMar>
          </w:tcPr>
          <w:p>
            <w:r>
              <w:rPr>
                <w:b/>
                <w:bCs/>
                <w:sz w:val="20"/>
                <w:szCs w:val="20"/>
              </w:rPr>
              <w:t xml:space="preserve">Timetable Assistant</w:t>
            </w:r>
          </w:p>
        </w:tc>
        <w:tc>
          <w:tcPr>
            <w:tcW w:type="dxa" w:w="6800"/>
            <w:shd w:fill="DCE6F1" w:val="clear"/>
            <w:tcMar>
              <w:top w:type="dxa" w:w="90"/>
              <w:left w:type="dxa" w:w="120"/>
              <w:bottom w:type="dxa" w:w="90"/>
              <w:right w:type="dxa" w:w="120"/>
            </w:tcMar>
          </w:tcPr>
          <w:p>
            <w:r>
              <w:rPr>
                <w:sz w:val="20"/>
                <w:szCs w:val="20"/>
              </w:rPr>
              <w:t xml:space="preserve">Answers schedule-related queries (“What's my next class?”) once timetable data is integrated.</w:t>
            </w:r>
          </w:p>
        </w:tc>
      </w:tr>
    </w:tbl>
    <w:p>
      <w:pPr>
        <w:spacing w:after="160" w:line="276"/>
        <w:jc w:val="both"/>
      </w:pPr>
      <w:r>
        <w:rPr>
          <w:i/>
          <w:iCs/>
          <w:color w:val="595959"/>
          <w:sz w:val="20"/>
          <w:szCs w:val="20"/>
        </w:rPr>
        <w:t xml:space="preserve">Note: Attendance and timetable features depend on access to institutional data (ERP export or API). These are scoped as future integrations rather than part of the initial MVP, pending approval for data access.</w:t>
      </w:r>
    </w:p>
    <w:p>
      <w:pPr>
        <w:pStyle w:val="Heading1"/>
        <w:pBdr>
          <w:bottom w:val="single" w:color="1F4E79" w:sz="8" w:space="4"/>
        </w:pBdr>
        <w:spacing w:after="160" w:before="320"/>
      </w:pPr>
      <w:r>
        <w:rPr>
          <w:b/>
          <w:bCs/>
          <w:color w:val="1F4E79"/>
          <w:sz w:val="28"/>
          <w:szCs w:val="28"/>
        </w:rPr>
        <w:t xml:space="preserve">5. Technology Stack</w:t>
      </w:r>
    </w:p>
    <w:p>
      <w:pPr>
        <w:spacing w:after="160" w:line="276"/>
        <w:jc w:val="both"/>
      </w:pPr>
      <w:r>
        <w:rPr>
          <w:sz w:val="22"/>
          <w:szCs w:val="22"/>
        </w:rPr>
        <w:t xml:space="preserve">The entire system is built using free-tier and open-source tools, requiring no financial investment — an important constraint for a student-led project.</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000"/>
      </w:tblGrid>
      <w:tr>
        <w:tc>
          <w:tcPr>
            <w:tcW w:type="dxa" w:w="2400"/>
            <w:shd w:fill="DCE6F1" w:val="clear"/>
            <w:tcMar>
              <w:top w:type="dxa" w:w="100"/>
              <w:left w:type="dxa" w:w="120"/>
              <w:bottom w:type="dxa" w:w="100"/>
              <w:right w:type="dxa" w:w="120"/>
            </w:tcMar>
          </w:tcPr>
          <w:p>
            <w:r>
              <w:rPr>
                <w:b/>
                <w:bCs/>
                <w:sz w:val="21"/>
                <w:szCs w:val="21"/>
              </w:rPr>
              <w:t xml:space="preserve">Frontend</w:t>
            </w:r>
          </w:p>
        </w:tc>
        <w:tc>
          <w:tcPr>
            <w:tcW w:type="dxa" w:w="7000"/>
            <w:shd w:fill="DCE6F1" w:val="clear"/>
            <w:tcMar>
              <w:top w:type="dxa" w:w="100"/>
              <w:left w:type="dxa" w:w="120"/>
              <w:bottom w:type="dxa" w:w="100"/>
              <w:right w:type="dxa" w:w="120"/>
            </w:tcMar>
          </w:tcPr>
          <w:p>
            <w:r>
              <w:rPr>
                <w:sz w:val="21"/>
                <w:szCs w:val="21"/>
              </w:rPr>
              <w:t xml:space="preserve">React.js, deployed free on Vercel</w:t>
            </w:r>
          </w:p>
        </w:tc>
      </w:tr>
      <w:tr>
        <w:tc>
          <w:tcPr>
            <w:tcW w:type="dxa" w:w="2400"/>
            <w:tcMar>
              <w:top w:type="dxa" w:w="100"/>
              <w:left w:type="dxa" w:w="120"/>
              <w:bottom w:type="dxa" w:w="100"/>
              <w:right w:type="dxa" w:w="120"/>
            </w:tcMar>
          </w:tcPr>
          <w:p>
            <w:r>
              <w:rPr>
                <w:b/>
                <w:bCs/>
                <w:sz w:val="21"/>
                <w:szCs w:val="21"/>
              </w:rPr>
              <w:t xml:space="preserve">Backend</w:t>
            </w:r>
          </w:p>
        </w:tc>
        <w:tc>
          <w:tcPr>
            <w:tcW w:type="dxa" w:w="7000"/>
            <w:tcMar>
              <w:top w:type="dxa" w:w="100"/>
              <w:left w:type="dxa" w:w="120"/>
              <w:bottom w:type="dxa" w:w="100"/>
              <w:right w:type="dxa" w:w="120"/>
            </w:tcMar>
          </w:tcPr>
          <w:p>
            <w:r>
              <w:rPr>
                <w:sz w:val="21"/>
                <w:szCs w:val="21"/>
              </w:rPr>
              <w:t xml:space="preserve">FastAPI (Python), deployed free on Render</w:t>
            </w:r>
          </w:p>
        </w:tc>
      </w:tr>
      <w:tr>
        <w:tc>
          <w:tcPr>
            <w:tcW w:type="dxa" w:w="2400"/>
            <w:shd w:fill="DCE6F1" w:val="clear"/>
            <w:tcMar>
              <w:top w:type="dxa" w:w="100"/>
              <w:left w:type="dxa" w:w="120"/>
              <w:bottom w:type="dxa" w:w="100"/>
              <w:right w:type="dxa" w:w="120"/>
            </w:tcMar>
          </w:tcPr>
          <w:p>
            <w:r>
              <w:rPr>
                <w:b/>
                <w:bCs/>
                <w:sz w:val="21"/>
                <w:szCs w:val="21"/>
              </w:rPr>
              <w:t xml:space="preserve">AI / LLM Layer</w:t>
            </w:r>
          </w:p>
        </w:tc>
        <w:tc>
          <w:tcPr>
            <w:tcW w:type="dxa" w:w="7000"/>
            <w:shd w:fill="DCE6F1" w:val="clear"/>
            <w:tcMar>
              <w:top w:type="dxa" w:w="100"/>
              <w:left w:type="dxa" w:w="120"/>
              <w:bottom w:type="dxa" w:w="100"/>
              <w:right w:type="dxa" w:w="120"/>
            </w:tcMar>
          </w:tcPr>
          <w:p>
            <w:r>
              <w:rPr>
                <w:sz w:val="21"/>
                <w:szCs w:val="21"/>
              </w:rPr>
              <w:t xml:space="preserve">Google Gemini API or Groq API (free tier)</w:t>
            </w:r>
          </w:p>
        </w:tc>
      </w:tr>
      <w:tr>
        <w:tc>
          <w:tcPr>
            <w:tcW w:type="dxa" w:w="2400"/>
            <w:tcMar>
              <w:top w:type="dxa" w:w="100"/>
              <w:left w:type="dxa" w:w="120"/>
              <w:bottom w:type="dxa" w:w="100"/>
              <w:right w:type="dxa" w:w="120"/>
            </w:tcMar>
          </w:tcPr>
          <w:p>
            <w:r>
              <w:rPr>
                <w:b/>
                <w:bCs/>
                <w:sz w:val="21"/>
                <w:szCs w:val="21"/>
              </w:rPr>
              <w:t xml:space="preserve">Retrieval (RAG)</w:t>
            </w:r>
          </w:p>
        </w:tc>
        <w:tc>
          <w:tcPr>
            <w:tcW w:type="dxa" w:w="7000"/>
            <w:tcMar>
              <w:top w:type="dxa" w:w="100"/>
              <w:left w:type="dxa" w:w="120"/>
              <w:bottom w:type="dxa" w:w="100"/>
              <w:right w:type="dxa" w:w="120"/>
            </w:tcMar>
          </w:tcPr>
          <w:p>
            <w:r>
              <w:rPr>
                <w:sz w:val="21"/>
                <w:szCs w:val="21"/>
              </w:rPr>
              <w:t xml:space="preserve">sentence-transformers for embeddings, ChromaDB / FAISS for vector search</w:t>
            </w:r>
          </w:p>
        </w:tc>
      </w:tr>
      <w:tr>
        <w:tc>
          <w:tcPr>
            <w:tcW w:type="dxa" w:w="2400"/>
            <w:shd w:fill="DCE6F1" w:val="clear"/>
            <w:tcMar>
              <w:top w:type="dxa" w:w="100"/>
              <w:left w:type="dxa" w:w="120"/>
              <w:bottom w:type="dxa" w:w="100"/>
              <w:right w:type="dxa" w:w="120"/>
            </w:tcMar>
          </w:tcPr>
          <w:p>
            <w:r>
              <w:rPr>
                <w:b/>
                <w:bCs/>
                <w:sz w:val="21"/>
                <w:szCs w:val="21"/>
              </w:rPr>
              <w:t xml:space="preserve">Database</w:t>
            </w:r>
          </w:p>
        </w:tc>
        <w:tc>
          <w:tcPr>
            <w:tcW w:type="dxa" w:w="7000"/>
            <w:shd w:fill="DCE6F1" w:val="clear"/>
            <w:tcMar>
              <w:top w:type="dxa" w:w="100"/>
              <w:left w:type="dxa" w:w="120"/>
              <w:bottom w:type="dxa" w:w="100"/>
              <w:right w:type="dxa" w:w="120"/>
            </w:tcMar>
          </w:tcPr>
          <w:p>
            <w:r>
              <w:rPr>
                <w:sz w:val="21"/>
                <w:szCs w:val="21"/>
              </w:rPr>
              <w:t xml:space="preserve">MongoDB Atlas (free tier, 512 MB)</w:t>
            </w:r>
          </w:p>
        </w:tc>
      </w:tr>
      <w:tr>
        <w:tc>
          <w:tcPr>
            <w:tcW w:type="dxa" w:w="2400"/>
            <w:tcMar>
              <w:top w:type="dxa" w:w="100"/>
              <w:left w:type="dxa" w:w="120"/>
              <w:bottom w:type="dxa" w:w="100"/>
              <w:right w:type="dxa" w:w="120"/>
            </w:tcMar>
          </w:tcPr>
          <w:p>
            <w:r>
              <w:rPr>
                <w:b/>
                <w:bCs/>
                <w:sz w:val="21"/>
                <w:szCs w:val="21"/>
              </w:rPr>
              <w:t xml:space="preserve">OCR</w:t>
            </w:r>
          </w:p>
        </w:tc>
        <w:tc>
          <w:tcPr>
            <w:tcW w:type="dxa" w:w="7000"/>
            <w:tcMar>
              <w:top w:type="dxa" w:w="100"/>
              <w:left w:type="dxa" w:w="120"/>
              <w:bottom w:type="dxa" w:w="100"/>
              <w:right w:type="dxa" w:w="120"/>
            </w:tcMar>
          </w:tcPr>
          <w:p>
            <w:r>
              <w:rPr>
                <w:sz w:val="21"/>
                <w:szCs w:val="21"/>
              </w:rPr>
              <w:t xml:space="preserve">Tesseract OCR, for scanned notices and handwritten/printed material</w:t>
            </w:r>
          </w:p>
        </w:tc>
      </w:tr>
    </w:tbl>
    <w:p>
      <w:pPr>
        <w:pStyle w:val="Heading1"/>
        <w:pBdr>
          <w:bottom w:val="single" w:color="1F4E79" w:sz="8" w:space="4"/>
        </w:pBdr>
        <w:spacing w:after="160" w:before="320"/>
      </w:pPr>
      <w:r>
        <w:rPr>
          <w:b/>
          <w:bCs/>
          <w:color w:val="1F4E79"/>
          <w:sz w:val="28"/>
          <w:szCs w:val="28"/>
        </w:rPr>
        <w:t xml:space="preserve">6. System Architecture (Overview)</w:t>
      </w:r>
    </w:p>
    <w:p>
      <w:pPr>
        <w:spacing w:after="160" w:line="276"/>
        <w:jc w:val="both"/>
      </w:pPr>
      <w:r>
        <w:rPr>
          <w:sz w:val="22"/>
          <w:szCs w:val="22"/>
        </w:rPr>
        <w:t xml:space="preserve">The system follows a standard Retrieval-Augmented Generation (RAG) pipeline:</w:t>
      </w:r>
    </w:p>
    <w:p>
      <w:pPr>
        <w:pStyle w:val="ListParagraph"/>
        <w:numPr>
          <w:ilvl w:val="0"/>
          <w:numId w:val="2"/>
        </w:numPr>
        <w:spacing w:after="90" w:line="276"/>
      </w:pPr>
      <w:r>
        <w:rPr>
          <w:b w:val="false"/>
          <w:bCs w:val="false"/>
          <w:sz w:val="22"/>
          <w:szCs w:val="22"/>
        </w:rPr>
        <w:t xml:space="preserve">Documents (notes, notices) are ingested and split into text chunks.</w:t>
      </w:r>
    </w:p>
    <w:p>
      <w:pPr>
        <w:pStyle w:val="ListParagraph"/>
        <w:numPr>
          <w:ilvl w:val="0"/>
          <w:numId w:val="2"/>
        </w:numPr>
        <w:spacing w:after="90" w:line="276"/>
      </w:pPr>
      <w:r>
        <w:rPr>
          <w:b w:val="false"/>
          <w:bCs w:val="false"/>
          <w:sz w:val="22"/>
          <w:szCs w:val="22"/>
        </w:rPr>
        <w:t xml:space="preserve">Each chunk is converted into a vector embedding and stored in a vector database.</w:t>
      </w:r>
    </w:p>
    <w:p>
      <w:pPr>
        <w:pStyle w:val="ListParagraph"/>
        <w:numPr>
          <w:ilvl w:val="0"/>
          <w:numId w:val="2"/>
        </w:numPr>
        <w:spacing w:after="90" w:line="276"/>
      </w:pPr>
      <w:r>
        <w:rPr>
          <w:b w:val="false"/>
          <w:bCs w:val="false"/>
          <w:sz w:val="22"/>
          <w:szCs w:val="22"/>
        </w:rPr>
        <w:t xml:space="preserve">On a student query, the most relevant chunks are retrieved based on semantic similarity.</w:t>
      </w:r>
    </w:p>
    <w:p>
      <w:pPr>
        <w:pStyle w:val="ListParagraph"/>
        <w:numPr>
          <w:ilvl w:val="0"/>
          <w:numId w:val="2"/>
        </w:numPr>
        <w:spacing w:after="90" w:line="276"/>
      </w:pPr>
      <w:r>
        <w:rPr>
          <w:b w:val="false"/>
          <w:bCs w:val="false"/>
          <w:sz w:val="22"/>
          <w:szCs w:val="22"/>
        </w:rPr>
        <w:t xml:space="preserve">The retrieved context is passed to the LLM, which generates an answer grounded in that material — reducing hallucination compared to a generic chatbot.</w:t>
      </w:r>
    </w:p>
    <w:p>
      <w:pPr>
        <w:spacing w:after="160" w:line="276"/>
        <w:jc w:val="both"/>
      </w:pPr>
      <w:r>
        <w:rPr>
          <w:sz w:val="22"/>
          <w:szCs w:val="22"/>
        </w:rPr>
        <w:t xml:space="preserve">This ensures the assistant answers using actual college/course content rather than generic internet knowledge.</w:t>
      </w:r>
    </w:p>
    <w:p>
      <w:pPr>
        <w:pStyle w:val="Heading1"/>
        <w:pBdr>
          <w:bottom w:val="single" w:color="1F4E79" w:sz="8" w:space="4"/>
        </w:pBdr>
        <w:spacing w:after="160" w:before="320"/>
      </w:pPr>
      <w:r>
        <w:rPr>
          <w:b/>
          <w:bCs/>
          <w:color w:val="1F4E79"/>
          <w:sz w:val="28"/>
          <w:szCs w:val="28"/>
        </w:rPr>
        <w:t xml:space="preserve">7. Implementation Plan</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1800"/>
        <w:gridCol w:w="3800"/>
      </w:tblGrid>
      <w:tr>
        <w:trPr>
          <w:tblHeader/>
        </w:trPr>
        <w:tc>
          <w:tcPr>
            <w:tcW w:type="dxa" w:w="3800"/>
            <w:shd w:fill="1F4E79" w:val="clear"/>
            <w:tcMar>
              <w:top w:type="dxa" w:w="90"/>
              <w:left w:type="dxa" w:w="120"/>
              <w:bottom w:type="dxa" w:w="90"/>
              <w:right w:type="dxa" w:w="120"/>
            </w:tcMar>
          </w:tcPr>
          <w:p>
            <w:r>
              <w:rPr>
                <w:b/>
                <w:bCs/>
                <w:color w:val="FFFFFF"/>
                <w:sz w:val="21"/>
                <w:szCs w:val="21"/>
              </w:rPr>
              <w:t xml:space="preserve">Phase</w:t>
            </w:r>
          </w:p>
        </w:tc>
        <w:tc>
          <w:tcPr>
            <w:tcW w:type="dxa" w:w="1800"/>
            <w:shd w:fill="1F4E79" w:val="clear"/>
            <w:tcMar>
              <w:top w:type="dxa" w:w="90"/>
              <w:left w:type="dxa" w:w="120"/>
              <w:bottom w:type="dxa" w:w="90"/>
              <w:right w:type="dxa" w:w="120"/>
            </w:tcMar>
          </w:tcPr>
          <w:p>
            <w:r>
              <w:rPr>
                <w:b/>
                <w:bCs/>
                <w:color w:val="FFFFFF"/>
                <w:sz w:val="21"/>
                <w:szCs w:val="21"/>
              </w:rPr>
              <w:t xml:space="preserve">Duration</w:t>
            </w:r>
          </w:p>
        </w:tc>
        <w:tc>
          <w:tcPr>
            <w:tcW w:type="dxa" w:w="3800"/>
            <w:shd w:fill="1F4E79" w:val="clear"/>
            <w:tcMar>
              <w:top w:type="dxa" w:w="90"/>
              <w:left w:type="dxa" w:w="120"/>
              <w:bottom w:type="dxa" w:w="90"/>
              <w:right w:type="dxa" w:w="120"/>
            </w:tcMar>
          </w:tcPr>
          <w:p>
            <w:r>
              <w:rPr>
                <w:b/>
                <w:bCs/>
                <w:color w:val="FFFFFF"/>
                <w:sz w:val="21"/>
                <w:szCs w:val="21"/>
              </w:rPr>
              <w:t xml:space="preserve">Deliverable</w:t>
            </w:r>
          </w:p>
        </w:tc>
      </w:tr>
      <w:tr>
        <w:tc>
          <w:tcPr>
            <w:tcW w:type="dxa" w:w="3800"/>
            <w:shd w:fill="DCE6F1" w:val="clear"/>
            <w:tcMar>
              <w:top w:type="dxa" w:w="90"/>
              <w:left w:type="dxa" w:w="120"/>
              <w:bottom w:type="dxa" w:w="90"/>
              <w:right w:type="dxa" w:w="120"/>
            </w:tcMar>
          </w:tcPr>
          <w:p>
            <w:r>
              <w:rPr>
                <w:sz w:val="20"/>
                <w:szCs w:val="20"/>
              </w:rPr>
              <w:t xml:space="preserve">Requirement gathering &amp; architecture design</w:t>
            </w:r>
          </w:p>
        </w:tc>
        <w:tc>
          <w:tcPr>
            <w:tcW w:type="dxa" w:w="1800"/>
            <w:shd w:fill="DCE6F1" w:val="clear"/>
            <w:tcMar>
              <w:top w:type="dxa" w:w="90"/>
              <w:left w:type="dxa" w:w="120"/>
              <w:bottom w:type="dxa" w:w="90"/>
              <w:right w:type="dxa" w:w="120"/>
            </w:tcMar>
          </w:tcPr>
          <w:p>
            <w:r>
              <w:rPr>
                <w:sz w:val="20"/>
                <w:szCs w:val="20"/>
              </w:rPr>
              <w:t xml:space="preserve">Week 1–2</w:t>
            </w:r>
          </w:p>
        </w:tc>
        <w:tc>
          <w:tcPr>
            <w:tcW w:type="dxa" w:w="3800"/>
            <w:shd w:fill="DCE6F1" w:val="clear"/>
            <w:tcMar>
              <w:top w:type="dxa" w:w="90"/>
              <w:left w:type="dxa" w:w="120"/>
              <w:bottom w:type="dxa" w:w="90"/>
              <w:right w:type="dxa" w:w="120"/>
            </w:tcMar>
          </w:tcPr>
          <w:p>
            <w:r>
              <w:rPr>
                <w:sz w:val="20"/>
                <w:szCs w:val="20"/>
              </w:rPr>
              <w:t xml:space="preserve">Finalized system design, tech stack setup</w:t>
            </w:r>
          </w:p>
        </w:tc>
      </w:tr>
      <w:tr>
        <w:tc>
          <w:tcPr>
            <w:tcW w:type="dxa" w:w="3800"/>
            <w:tcMar>
              <w:top w:type="dxa" w:w="90"/>
              <w:left w:type="dxa" w:w="120"/>
              <w:bottom w:type="dxa" w:w="90"/>
              <w:right w:type="dxa" w:w="120"/>
            </w:tcMar>
          </w:tcPr>
          <w:p>
            <w:r>
              <w:rPr>
                <w:sz w:val="20"/>
                <w:szCs w:val="20"/>
              </w:rPr>
              <w:t xml:space="preserve">RAG pipeline development</w:t>
            </w:r>
          </w:p>
        </w:tc>
        <w:tc>
          <w:tcPr>
            <w:tcW w:type="dxa" w:w="1800"/>
            <w:tcMar>
              <w:top w:type="dxa" w:w="90"/>
              <w:left w:type="dxa" w:w="120"/>
              <w:bottom w:type="dxa" w:w="90"/>
              <w:right w:type="dxa" w:w="120"/>
            </w:tcMar>
          </w:tcPr>
          <w:p>
            <w:r>
              <w:rPr>
                <w:sz w:val="20"/>
                <w:szCs w:val="20"/>
              </w:rPr>
              <w:t xml:space="preserve">Week 3–4</w:t>
            </w:r>
          </w:p>
        </w:tc>
        <w:tc>
          <w:tcPr>
            <w:tcW w:type="dxa" w:w="3800"/>
            <w:tcMar>
              <w:top w:type="dxa" w:w="90"/>
              <w:left w:type="dxa" w:w="120"/>
              <w:bottom w:type="dxa" w:w="90"/>
              <w:right w:type="dxa" w:w="120"/>
            </w:tcMar>
          </w:tcPr>
          <w:p>
            <w:r>
              <w:rPr>
                <w:sz w:val="20"/>
                <w:szCs w:val="20"/>
              </w:rPr>
              <w:t xml:space="preserve">Working PDF Chat (document ingestion + Q&amp;A)</w:t>
            </w:r>
          </w:p>
        </w:tc>
      </w:tr>
      <w:tr>
        <w:tc>
          <w:tcPr>
            <w:tcW w:type="dxa" w:w="3800"/>
            <w:shd w:fill="DCE6F1" w:val="clear"/>
            <w:tcMar>
              <w:top w:type="dxa" w:w="90"/>
              <w:left w:type="dxa" w:w="120"/>
              <w:bottom w:type="dxa" w:w="90"/>
              <w:right w:type="dxa" w:w="120"/>
            </w:tcMar>
          </w:tcPr>
          <w:p>
            <w:r>
              <w:rPr>
                <w:sz w:val="20"/>
                <w:szCs w:val="20"/>
              </w:rPr>
              <w:t xml:space="preserve">Notice Summarizer module</w:t>
            </w:r>
          </w:p>
        </w:tc>
        <w:tc>
          <w:tcPr>
            <w:tcW w:type="dxa" w:w="1800"/>
            <w:shd w:fill="DCE6F1" w:val="clear"/>
            <w:tcMar>
              <w:top w:type="dxa" w:w="90"/>
              <w:left w:type="dxa" w:w="120"/>
              <w:bottom w:type="dxa" w:w="90"/>
              <w:right w:type="dxa" w:w="120"/>
            </w:tcMar>
          </w:tcPr>
          <w:p>
            <w:r>
              <w:rPr>
                <w:sz w:val="20"/>
                <w:szCs w:val="20"/>
              </w:rPr>
              <w:t xml:space="preserve">Week 5</w:t>
            </w:r>
          </w:p>
        </w:tc>
        <w:tc>
          <w:tcPr>
            <w:tcW w:type="dxa" w:w="3800"/>
            <w:shd w:fill="DCE6F1" w:val="clear"/>
            <w:tcMar>
              <w:top w:type="dxa" w:w="90"/>
              <w:left w:type="dxa" w:w="120"/>
              <w:bottom w:type="dxa" w:w="90"/>
              <w:right w:type="dxa" w:w="120"/>
            </w:tcMar>
          </w:tcPr>
          <w:p>
            <w:r>
              <w:rPr>
                <w:sz w:val="20"/>
                <w:szCs w:val="20"/>
              </w:rPr>
              <w:t xml:space="preserve">Notice upload + summarization feature</w:t>
            </w:r>
          </w:p>
        </w:tc>
      </w:tr>
      <w:tr>
        <w:tc>
          <w:tcPr>
            <w:tcW w:type="dxa" w:w="3800"/>
            <w:tcMar>
              <w:top w:type="dxa" w:w="90"/>
              <w:left w:type="dxa" w:w="120"/>
              <w:bottom w:type="dxa" w:w="90"/>
              <w:right w:type="dxa" w:w="120"/>
            </w:tcMar>
          </w:tcPr>
          <w:p>
            <w:r>
              <w:rPr>
                <w:sz w:val="20"/>
                <w:szCs w:val="20"/>
              </w:rPr>
              <w:t xml:space="preserve">Notes Q&amp;A module</w:t>
            </w:r>
          </w:p>
        </w:tc>
        <w:tc>
          <w:tcPr>
            <w:tcW w:type="dxa" w:w="1800"/>
            <w:tcMar>
              <w:top w:type="dxa" w:w="90"/>
              <w:left w:type="dxa" w:w="120"/>
              <w:bottom w:type="dxa" w:w="90"/>
              <w:right w:type="dxa" w:w="120"/>
            </w:tcMar>
          </w:tcPr>
          <w:p>
            <w:r>
              <w:rPr>
                <w:sz w:val="20"/>
                <w:szCs w:val="20"/>
              </w:rPr>
              <w:t xml:space="preserve">Week 6–7</w:t>
            </w:r>
          </w:p>
        </w:tc>
        <w:tc>
          <w:tcPr>
            <w:tcW w:type="dxa" w:w="3800"/>
            <w:tcMar>
              <w:top w:type="dxa" w:w="90"/>
              <w:left w:type="dxa" w:w="120"/>
              <w:bottom w:type="dxa" w:w="90"/>
              <w:right w:type="dxa" w:w="120"/>
            </w:tcMar>
          </w:tcPr>
          <w:p>
            <w:r>
              <w:rPr>
                <w:sz w:val="20"/>
                <w:szCs w:val="20"/>
              </w:rPr>
              <w:t xml:space="preserve">Module-wise Q&amp;A grounded in syllabus content</w:t>
            </w:r>
          </w:p>
        </w:tc>
      </w:tr>
      <w:tr>
        <w:tc>
          <w:tcPr>
            <w:tcW w:type="dxa" w:w="3800"/>
            <w:shd w:fill="DCE6F1" w:val="clear"/>
            <w:tcMar>
              <w:top w:type="dxa" w:w="90"/>
              <w:left w:type="dxa" w:w="120"/>
              <w:bottom w:type="dxa" w:w="90"/>
              <w:right w:type="dxa" w:w="120"/>
            </w:tcMar>
          </w:tcPr>
          <w:p>
            <w:r>
              <w:rPr>
                <w:sz w:val="20"/>
                <w:szCs w:val="20"/>
              </w:rPr>
              <w:t xml:space="preserve">Frontend integration &amp; testing</w:t>
            </w:r>
          </w:p>
        </w:tc>
        <w:tc>
          <w:tcPr>
            <w:tcW w:type="dxa" w:w="1800"/>
            <w:shd w:fill="DCE6F1" w:val="clear"/>
            <w:tcMar>
              <w:top w:type="dxa" w:w="90"/>
              <w:left w:type="dxa" w:w="120"/>
              <w:bottom w:type="dxa" w:w="90"/>
              <w:right w:type="dxa" w:w="120"/>
            </w:tcMar>
          </w:tcPr>
          <w:p>
            <w:r>
              <w:rPr>
                <w:sz w:val="20"/>
                <w:szCs w:val="20"/>
              </w:rPr>
              <w:t xml:space="preserve">Week 8–9</w:t>
            </w:r>
          </w:p>
        </w:tc>
        <w:tc>
          <w:tcPr>
            <w:tcW w:type="dxa" w:w="3800"/>
            <w:shd w:fill="DCE6F1" w:val="clear"/>
            <w:tcMar>
              <w:top w:type="dxa" w:w="90"/>
              <w:left w:type="dxa" w:w="120"/>
              <w:bottom w:type="dxa" w:w="90"/>
              <w:right w:type="dxa" w:w="120"/>
            </w:tcMar>
          </w:tcPr>
          <w:p>
            <w:r>
              <w:rPr>
                <w:sz w:val="20"/>
                <w:szCs w:val="20"/>
              </w:rPr>
              <w:t xml:space="preserve">End-to-end working web application</w:t>
            </w:r>
          </w:p>
        </w:tc>
      </w:tr>
      <w:tr>
        <w:tc>
          <w:tcPr>
            <w:tcW w:type="dxa" w:w="3800"/>
            <w:tcMar>
              <w:top w:type="dxa" w:w="90"/>
              <w:left w:type="dxa" w:w="120"/>
              <w:bottom w:type="dxa" w:w="90"/>
              <w:right w:type="dxa" w:w="120"/>
            </w:tcMar>
          </w:tcPr>
          <w:p>
            <w:r>
              <w:rPr>
                <w:sz w:val="20"/>
                <w:szCs w:val="20"/>
              </w:rPr>
              <w:t xml:space="preserve">Deployment &amp; documentation</w:t>
            </w:r>
          </w:p>
        </w:tc>
        <w:tc>
          <w:tcPr>
            <w:tcW w:type="dxa" w:w="1800"/>
            <w:tcMar>
              <w:top w:type="dxa" w:w="90"/>
              <w:left w:type="dxa" w:w="120"/>
              <w:bottom w:type="dxa" w:w="90"/>
              <w:right w:type="dxa" w:w="120"/>
            </w:tcMar>
          </w:tcPr>
          <w:p>
            <w:r>
              <w:rPr>
                <w:sz w:val="20"/>
                <w:szCs w:val="20"/>
              </w:rPr>
              <w:t xml:space="preserve">Week 10</w:t>
            </w:r>
          </w:p>
        </w:tc>
        <w:tc>
          <w:tcPr>
            <w:tcW w:type="dxa" w:w="3800"/>
            <w:tcMar>
              <w:top w:type="dxa" w:w="90"/>
              <w:left w:type="dxa" w:w="120"/>
              <w:bottom w:type="dxa" w:w="90"/>
              <w:right w:type="dxa" w:w="120"/>
            </w:tcMar>
          </w:tcPr>
          <w:p>
            <w:r>
              <w:rPr>
                <w:sz w:val="20"/>
                <w:szCs w:val="20"/>
              </w:rPr>
              <w:t xml:space="preserve">Live demo deployment, final report</w:t>
            </w:r>
          </w:p>
        </w:tc>
      </w:tr>
    </w:tbl>
    <w:p>
      <w:pPr>
        <w:pStyle w:val="Heading1"/>
        <w:pBdr>
          <w:bottom w:val="single" w:color="1F4E79" w:sz="8" w:space="4"/>
        </w:pBdr>
        <w:spacing w:after="160" w:before="320"/>
      </w:pPr>
      <w:r>
        <w:rPr>
          <w:b/>
          <w:bCs/>
          <w:color w:val="1F4E79"/>
          <w:sz w:val="28"/>
          <w:szCs w:val="28"/>
        </w:rPr>
        <w:t xml:space="preserve">8. Expected Outcomes</w:t>
      </w:r>
    </w:p>
    <w:p>
      <w:pPr>
        <w:pStyle w:val="ListParagraph"/>
        <w:numPr>
          <w:ilvl w:val="0"/>
          <w:numId w:val="2"/>
        </w:numPr>
        <w:spacing w:after="90" w:line="276"/>
      </w:pPr>
      <w:r>
        <w:rPr>
          <w:b w:val="false"/>
          <w:bCs w:val="false"/>
          <w:sz w:val="22"/>
          <w:szCs w:val="22"/>
        </w:rPr>
        <w:t xml:space="preserve">A working, demo-ready web application answering real student queries from actual course material.</w:t>
      </w:r>
    </w:p>
    <w:p>
      <w:pPr>
        <w:pStyle w:val="ListParagraph"/>
        <w:numPr>
          <w:ilvl w:val="0"/>
          <w:numId w:val="2"/>
        </w:numPr>
        <w:spacing w:after="90" w:line="276"/>
      </w:pPr>
      <w:r>
        <w:rPr>
          <w:b w:val="false"/>
          <w:bCs w:val="false"/>
          <w:sz w:val="22"/>
          <w:szCs w:val="22"/>
        </w:rPr>
        <w:t xml:space="preserve">Reduced time spent searching for notices, deadlines, and notes across scattered sources.</w:t>
      </w:r>
    </w:p>
    <w:p>
      <w:pPr>
        <w:pStyle w:val="ListParagraph"/>
        <w:numPr>
          <w:ilvl w:val="0"/>
          <w:numId w:val="2"/>
        </w:numPr>
        <w:spacing w:after="90" w:line="276"/>
      </w:pPr>
      <w:r>
        <w:rPr>
          <w:b w:val="false"/>
          <w:bCs w:val="false"/>
          <w:sz w:val="22"/>
          <w:szCs w:val="22"/>
        </w:rPr>
        <w:t xml:space="preserve">A reusable, extensible architecture that the department can build on for future ERP integration.</w:t>
      </w:r>
    </w:p>
    <w:p>
      <w:pPr>
        <w:pStyle w:val="ListParagraph"/>
        <w:numPr>
          <w:ilvl w:val="0"/>
          <w:numId w:val="2"/>
        </w:numPr>
        <w:spacing w:after="90" w:line="276"/>
      </w:pPr>
      <w:r>
        <w:rPr>
          <w:b w:val="false"/>
          <w:bCs w:val="false"/>
          <w:sz w:val="22"/>
          <w:szCs w:val="22"/>
        </w:rPr>
        <w:t xml:space="preserve">Hands-on experience across the full AI/ML application stack: RAG, embeddings, vector search, and full-stack deployment.</w:t>
      </w:r>
    </w:p>
    <w:p>
      <w:pPr>
        <w:pStyle w:val="Heading1"/>
        <w:pBdr>
          <w:bottom w:val="single" w:color="1F4E79" w:sz="8" w:space="4"/>
        </w:pBdr>
        <w:spacing w:after="160" w:before="320"/>
      </w:pPr>
      <w:r>
        <w:rPr>
          <w:b/>
          <w:bCs/>
          <w:color w:val="1F4E79"/>
          <w:sz w:val="28"/>
          <w:szCs w:val="28"/>
        </w:rPr>
        <w:t xml:space="preserve">9. Conclusion</w:t>
      </w:r>
    </w:p>
    <w:p>
      <w:pPr>
        <w:spacing w:after="160" w:line="276"/>
        <w:jc w:val="both"/>
      </w:pPr>
      <w:r>
        <w:rPr>
          <w:sz w:val="22"/>
          <w:szCs w:val="22"/>
        </w:rPr>
        <w:t xml:space="preserve">The AI College Assistant addresses a genuine, everyday problem faced by students using a practical, zero-cost technical approach. By scoping the initial build to three well-defined, achievable features (PDF Chat, Notice Summarizer, and Notes Q&amp;A), the project ensures a working deliverable within the proposed timeline, while leaving a clear path for future integration with attendance and timetable systems as institutional data access becomes available.</w:t>
      </w:r>
    </w:p>
    <w:p>
      <w:pPr>
        <w:spacing w:after="160" w:line="276"/>
        <w:jc w:val="both"/>
      </w:pPr>
      <w:r>
        <w:rPr>
          <w:sz w:val="22"/>
          <w:szCs w:val="22"/>
        </w:rPr>
        <w:t xml:space="preserve">This proposal is submitted for review and approval to proceed with implementation.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2026-08-04T11:20:45.717Z</dcterms:created>
  <dcterms:modified xsi:type="dcterms:W3CDTF">2026-08-04T11:20:45.727Z</dcterms:modified>
</cp:coreProperties>
</file>

<file path=docProps/custom.xml><?xml version="1.0" encoding="utf-8"?>
<Properties xmlns="http://schemas.openxmlformats.org/officeDocument/2006/custom-properties" xmlns:vt="http://schemas.openxmlformats.org/officeDocument/2006/docPropsVTypes"/>
</file>