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3864" w:val="clear"/>
        <w:spacing w:after="200" w:before="0"/>
        <w:jc w:val="center"/>
      </w:pPr>
      <w:r>
        <w:rPr>
          <w:sz w:val="8"/>
          <w:szCs w:val="8"/>
        </w:rPr>
        <w:br/>
        <w:t xml:space="preserve"/>
      </w:r>
      <w:r>
        <w:rPr>
          <w:rFonts w:ascii="Arial" w:cs="Arial" w:eastAsia="Arial" w:hAnsi="Arial"/>
          <w:b/>
          <w:bCs/>
          <w:color w:val="FFFFFF"/>
          <w:sz w:val="56"/>
          <w:szCs w:val="56"/>
        </w:rPr>
        <w:t xml:space="preserve">e-PMS</w:t>
      </w:r>
      <w:r>
        <w:rPr>
          <w:rFonts w:ascii="Arial" w:cs="Arial" w:eastAsia="Arial" w:hAnsi="Arial"/>
          <w:color w:val="BDD7EE"/>
          <w:sz w:val="32"/>
          <w:szCs w:val="32"/>
        </w:rPr>
        <w:t xml:space="preserve"> | Product Requirements Document</w:t>
      </w:r>
      <w:r>
        <w:rPr>
          <w:sz w:val="8"/>
          <w:szCs w:val="8"/>
        </w:rPr>
        <w:br/>
        <w:t xml:space="preserve"/>
      </w:r>
      <w:r>
        <w:rPr>
          <w:rFonts w:ascii="Arial" w:cs="Arial" w:eastAsia="Arial" w:hAnsi="Arial"/>
          <w:color w:val="D6E4F0"/>
          <w:sz w:val="22"/>
          <w:szCs w:val="22"/>
        </w:rPr>
        <w:t xml:space="preserve">Section 14  ·  Database-Schema-Aligned Version</w:t>
      </w:r>
      <w:r>
        <w:rPr>
          <w:sz w:val="10"/>
          <w:szCs w:val="10"/>
        </w:rPr>
        <w:b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vAlign w:val="center"/>
          </w:tcPr>
          <w:p>
            <w:pPr>
              <w:jc w:val="left"/>
            </w:pPr>
            <w:r>
              <w:rPr>
                <w:rFonts w:ascii="Arial" w:cs="Arial" w:eastAsia="Arial" w:hAnsi="Arial"/>
                <w:b/>
                <w:bCs/>
                <w:color w:val="404040"/>
                <w:sz w:val="18"/>
                <w:szCs w:val="18"/>
              </w:rPr>
              <w:t xml:space="preserve">Document</w:t>
            </w:r>
          </w:p>
        </w:tc>
        <w:tc>
          <w:tcPr>
            <w:tcW w:type="dxa" w:w="6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Product Requirements Document (PRD) — Section 14</w:t>
            </w:r>
          </w:p>
        </w:tc>
      </w:tr>
      <w:tr>
        <w:tc>
          <w:tcPr>
            <w:tcW w:type="dxa" w:w="260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vAlign w:val="center"/>
          </w:tcPr>
          <w:p>
            <w:pPr>
              <w:jc w:val="left"/>
            </w:pPr>
            <w:r>
              <w:rPr>
                <w:rFonts w:ascii="Arial" w:cs="Arial" w:eastAsia="Arial" w:hAnsi="Arial"/>
                <w:b/>
                <w:bCs/>
                <w:color w:val="404040"/>
                <w:sz w:val="18"/>
                <w:szCs w:val="18"/>
              </w:rPr>
              <w:t xml:space="preserve">System</w:t>
            </w:r>
          </w:p>
        </w:tc>
        <w:tc>
          <w:tcPr>
            <w:tcW w:type="dxa" w:w="67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Electronic Performance Management System (e-PMS)</w:t>
            </w:r>
          </w:p>
        </w:tc>
      </w:tr>
      <w:tr>
        <w:tc>
          <w:tcPr>
            <w:tcW w:type="dxa" w:w="260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vAlign w:val="center"/>
          </w:tcPr>
          <w:p>
            <w:pPr>
              <w:jc w:val="left"/>
            </w:pPr>
            <w:r>
              <w:rPr>
                <w:rFonts w:ascii="Arial" w:cs="Arial" w:eastAsia="Arial" w:hAnsi="Arial"/>
                <w:b/>
                <w:bCs/>
                <w:color w:val="404040"/>
                <w:sz w:val="18"/>
                <w:szCs w:val="18"/>
              </w:rPr>
              <w:t xml:space="preserve">Version</w:t>
            </w:r>
          </w:p>
        </w:tc>
        <w:tc>
          <w:tcPr>
            <w:tcW w:type="dxa" w:w="6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2.0 — Database-Schema Aligned</w:t>
            </w:r>
          </w:p>
        </w:tc>
      </w:tr>
      <w:tr>
        <w:tc>
          <w:tcPr>
            <w:tcW w:type="dxa" w:w="260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vAlign w:val="center"/>
          </w:tcPr>
          <w:p>
            <w:pPr>
              <w:jc w:val="left"/>
            </w:pPr>
            <w:r>
              <w:rPr>
                <w:rFonts w:ascii="Arial" w:cs="Arial" w:eastAsia="Arial" w:hAnsi="Arial"/>
                <w:b/>
                <w:bCs/>
                <w:color w:val="404040"/>
                <w:sz w:val="18"/>
                <w:szCs w:val="18"/>
              </w:rPr>
              <w:t xml:space="preserve">Tech Stack</w:t>
            </w:r>
          </w:p>
        </w:tc>
        <w:tc>
          <w:tcPr>
            <w:tcW w:type="dxa" w:w="67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React.js · Node.js · Express.js · PostgreSQL · Tailwind CSS</w:t>
            </w:r>
          </w:p>
        </w:tc>
      </w:tr>
      <w:tr>
        <w:tc>
          <w:tcPr>
            <w:tcW w:type="dxa" w:w="260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vAlign w:val="center"/>
          </w:tcPr>
          <w:p>
            <w:pPr>
              <w:jc w:val="left"/>
            </w:pPr>
            <w:r>
              <w:rPr>
                <w:rFonts w:ascii="Arial" w:cs="Arial" w:eastAsia="Arial" w:hAnsi="Arial"/>
                <w:b/>
                <w:bCs/>
                <w:color w:val="404040"/>
                <w:sz w:val="18"/>
                <w:szCs w:val="18"/>
              </w:rPr>
              <w:t xml:space="preserve">Database Tables</w:t>
            </w:r>
          </w:p>
        </w:tc>
        <w:tc>
          <w:tcPr>
            <w:tcW w:type="dxa" w:w="6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18 tables (fully aligned with project submission template)</w:t>
            </w:r>
          </w:p>
        </w:tc>
      </w:tr>
      <w:tr>
        <w:tc>
          <w:tcPr>
            <w:tcW w:type="dxa" w:w="260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vAlign w:val="center"/>
          </w:tcPr>
          <w:p>
            <w:pPr>
              <w:jc w:val="left"/>
            </w:pPr>
            <w:r>
              <w:rPr>
                <w:rFonts w:ascii="Arial" w:cs="Arial" w:eastAsia="Arial" w:hAnsi="Arial"/>
                <w:b/>
                <w:bCs/>
                <w:color w:val="404040"/>
                <w:sz w:val="18"/>
                <w:szCs w:val="18"/>
              </w:rPr>
              <w:t xml:space="preserve">Academic Context</w:t>
            </w:r>
          </w:p>
        </w:tc>
        <w:tc>
          <w:tcPr>
            <w:tcW w:type="dxa" w:w="67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B.Tech ICT — 6th Semester · Software Project Management</w:t>
            </w:r>
          </w:p>
        </w:tc>
      </w:tr>
    </w:tbl>
    <w:p>
      <w:pPr>
        <w:spacing w:after="120" w:before="120"/>
      </w:pPr>
      <w:r>
        <w:t xml:space="preserve"/>
      </w:r>
    </w:p>
    <w:p>
      <w:pPr>
        <w:pStyle w:val="Heading1"/>
        <w:pBdr>
          <w:bottom w:val="single" w:color="2E75B6" w:sz="8" w:space="4"/>
        </w:pBdr>
        <w:spacing w:after="160" w:before="320"/>
      </w:pPr>
      <w:r>
        <w:rPr>
          <w:rFonts w:ascii="Arial" w:cs="Arial" w:eastAsia="Arial" w:hAnsi="Arial"/>
          <w:b/>
          <w:bCs/>
          <w:color w:val="1F3864"/>
          <w:sz w:val="32"/>
          <w:szCs w:val="32"/>
        </w:rPr>
        <w:t xml:space="preserve">Section 14 — Product Requirements Document (PRD)</w:t>
      </w:r>
    </w:p>
    <w:p>
      <w:pPr>
        <w:pStyle w:val="Heading2"/>
        <w:spacing w:after="120" w:before="240"/>
      </w:pPr>
      <w:r>
        <w:rPr>
          <w:rFonts w:ascii="Arial" w:cs="Arial" w:eastAsia="Arial" w:hAnsi="Arial"/>
          <w:b/>
          <w:bCs/>
          <w:color w:val="2E75B6"/>
          <w:sz w:val="26"/>
          <w:szCs w:val="26"/>
        </w:rPr>
        <w:t xml:space="preserve">14.1  Project Overview</w:t>
      </w:r>
    </w:p>
    <w:p>
      <w:pPr>
        <w:spacing w:after="60" w:before="60"/>
      </w:pPr>
      <w:r>
        <w:rPr>
          <w:rFonts w:ascii="Arial" w:cs="Arial" w:eastAsia="Arial" w:hAnsi="Arial"/>
          <w:color w:val="404040"/>
          <w:sz w:val="20"/>
          <w:szCs w:val="20"/>
        </w:rPr>
        <w:t xml:space="preserve">Product Name: e-PMS — Electronic Performance Management System</w:t>
      </w:r>
    </w:p>
    <w:p>
      <w:pPr>
        <w:spacing w:after="60" w:before="60"/>
      </w:pPr>
      <w:r>
        <w:rPr>
          <w:rFonts w:ascii="Arial" w:cs="Arial" w:eastAsia="Arial" w:hAnsi="Arial"/>
          <w:color w:val="404040"/>
          <w:sz w:val="20"/>
          <w:szCs w:val="20"/>
        </w:rPr>
        <w:t xml:space="preserve">Version: 1.0  |  Environment: Localhost (Development Only)</w:t>
      </w:r>
    </w:p>
    <w:p>
      <w:pPr>
        <w:spacing w:after="60" w:before="60"/>
      </w:pPr>
      <w:r>
        <w:t xml:space="preserve"/>
      </w:r>
    </w:p>
    <w:p>
      <w:pPr>
        <w:spacing w:after="60" w:before="60"/>
      </w:pPr>
      <w:r>
        <w:rPr>
          <w:rFonts w:ascii="Arial" w:cs="Arial" w:eastAsia="Arial" w:hAnsi="Arial"/>
          <w:color w:val="404040"/>
          <w:sz w:val="20"/>
          <w:szCs w:val="20"/>
        </w:rPr>
        <w:t xml:space="preserve">The e-PMS is a full-stack web application that digitizes the end-to-end employee performance appraisal process at Dhirubhai Ambani University. It replaces paper-based appraisal forms with a structured, role-gated digital workflow covering Goal Setting, Six-Monthly Progress Review, Annual Self-Appraisal, multi-level officer ratings, automated score computation, and PDF generation.</w:t>
      </w:r>
    </w:p>
    <w:p>
      <w:pPr>
        <w:spacing w:after="60" w:before="60"/>
      </w:pPr>
      <w:r>
        <w:t xml:space="preserve"/>
      </w:r>
    </w:p>
    <w:p>
      <w:pPr>
        <w:spacing w:after="60" w:before="60"/>
      </w:pPr>
      <w:r>
        <w:rPr>
          <w:rFonts w:ascii="Arial" w:cs="Arial" w:eastAsia="Arial" w:hAnsi="Arial"/>
          <w:color w:val="404040"/>
          <w:sz w:val="20"/>
          <w:szCs w:val="20"/>
        </w:rPr>
        <w:t xml:space="preserve">The system enforces a strict eight-state appraisal workflow (draft → submitted → ro_approved → self_appraisal_done → ro_rated → revo_rated → ao_accepted → completed) implemented as a state machine in the backend. No actor can skip a stage or act out of sequence.</w:t>
      </w:r>
    </w:p>
    <w:p>
      <w:r>
        <w:br/>
      </w:r>
    </w:p>
    <w:p>
      <w:pPr>
        <w:pStyle w:val="Heading2"/>
        <w:spacing w:after="120" w:before="240"/>
      </w:pPr>
      <w:r>
        <w:rPr>
          <w:rFonts w:ascii="Arial" w:cs="Arial" w:eastAsia="Arial" w:hAnsi="Arial"/>
          <w:b/>
          <w:bCs/>
          <w:color w:val="2E75B6"/>
          <w:sz w:val="26"/>
          <w:szCs w:val="26"/>
        </w:rPr>
        <w:t xml:space="preserve">14.2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c>
          <w:tcPr>
            <w:tcW w:type="dxa" w:w="180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Layer</w:t>
            </w:r>
          </w:p>
        </w:tc>
        <w:tc>
          <w:tcPr>
            <w:tcW w:type="dxa" w:w="220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Technology</w:t>
            </w:r>
          </w:p>
        </w:tc>
        <w:tc>
          <w:tcPr>
            <w:tcW w:type="dxa" w:w="536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Purpose / Notes</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Frontend</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React.js 18 + Vite</w:t>
            </w:r>
          </w:p>
        </w:tc>
        <w:tc>
          <w:tcPr>
            <w:tcW w:type="dxa" w:w="5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Component-driven SPA; live weight validation; role-specific dashboards</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Styling</w:t>
            </w:r>
          </w:p>
        </w:tc>
        <w:tc>
          <w:tcPr>
            <w:tcW w:type="dxa" w:w="2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Tailwind CSS + Custom CSS</w:t>
            </w:r>
          </w:p>
        </w:tc>
        <w:tc>
          <w:tcPr>
            <w:tcW w:type="dxa" w:w="53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Utility-first layout; custom CSS for rating scale animations</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Routing</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React Router v6</w:t>
            </w:r>
          </w:p>
        </w:tc>
        <w:tc>
          <w:tcPr>
            <w:tcW w:type="dxa" w:w="5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Protected routes; role-based redirect on login</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State Management</w:t>
            </w:r>
          </w:p>
        </w:tc>
        <w:tc>
          <w:tcPr>
            <w:tcW w:type="dxa" w:w="2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React Context + useState/useEffect</w:t>
            </w:r>
          </w:p>
        </w:tc>
        <w:tc>
          <w:tcPr>
            <w:tcW w:type="dxa" w:w="53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Auth context; appraisal workflow state management</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HTTP Client</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Axios</w:t>
            </w:r>
          </w:p>
        </w:tc>
        <w:tc>
          <w:tcPr>
            <w:tcW w:type="dxa" w:w="5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API calls with JWT interceptors for automatic token attachment</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Charts</w:t>
            </w:r>
          </w:p>
        </w:tc>
        <w:tc>
          <w:tcPr>
            <w:tcW w:type="dxa" w:w="2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Recharts</w:t>
            </w:r>
          </w:p>
        </w:tc>
        <w:tc>
          <w:tcPr>
            <w:tcW w:type="dxa" w:w="53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Radar chart for attribute scores; bar charts for HR analytics</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Backend Runtime</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Node.js 20 LTS</w:t>
            </w:r>
          </w:p>
        </w:tc>
        <w:tc>
          <w:tcPr>
            <w:tcW w:type="dxa" w:w="5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Non-blocking I/O; Express middleware stack</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Backend Framework</w:t>
            </w:r>
          </w:p>
        </w:tc>
        <w:tc>
          <w:tcPr>
            <w:tcW w:type="dxa" w:w="2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Express.js 4</w:t>
            </w:r>
          </w:p>
        </w:tc>
        <w:tc>
          <w:tcPr>
            <w:tcW w:type="dxa" w:w="53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RESTful API; JWT auth middleware; route-level authorisation</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Authentication</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JWT (jsonwebtoken) + bcrypt</w:t>
            </w:r>
          </w:p>
        </w:tc>
        <w:tc>
          <w:tcPr>
            <w:tcW w:type="dxa" w:w="5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Stateless authentication; bcrypt password hashing</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Database</w:t>
            </w:r>
          </w:p>
        </w:tc>
        <w:tc>
          <w:tcPr>
            <w:tcW w:type="dxa" w:w="2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PostgreSQL 16</w:t>
            </w:r>
          </w:p>
        </w:tc>
        <w:tc>
          <w:tcPr>
            <w:tcW w:type="dxa" w:w="53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Relational; FK constraints; JSONB columns for audit snapshots</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Query Builder</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Knex.js</w:t>
            </w:r>
          </w:p>
        </w:tc>
        <w:tc>
          <w:tcPr>
            <w:tcW w:type="dxa" w:w="5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Versioned schema migrations; parameterised queries (SQL-injection safe)</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PDF Generation</w:t>
            </w:r>
          </w:p>
        </w:tc>
        <w:tc>
          <w:tcPr>
            <w:tcW w:type="dxa" w:w="2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Puppeteer</w:t>
            </w:r>
          </w:p>
        </w:tc>
        <w:tc>
          <w:tcPr>
            <w:tcW w:type="dxa" w:w="53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Headless Chrome renders appraisal summary page to PDF</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Precision Arithmetic</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Decimal.js</w:t>
            </w:r>
          </w:p>
        </w:tc>
        <w:tc>
          <w:tcPr>
            <w:tcW w:type="dxa" w:w="5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Eliminates JS floating-point errors in score engine calculations</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Testing</w:t>
            </w:r>
          </w:p>
        </w:tc>
        <w:tc>
          <w:tcPr>
            <w:tcW w:type="dxa" w:w="2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Jest + Supertest</w:t>
            </w:r>
          </w:p>
        </w:tc>
        <w:tc>
          <w:tcPr>
            <w:tcW w:type="dxa" w:w="53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Unit tests for score engine and state machine; integration tests for API flows</w:t>
            </w:r>
          </w:p>
        </w:tc>
      </w:tr>
    </w:tbl>
    <w:p>
      <w:pPr>
        <w:spacing w:after="60" w:before="60"/>
      </w:pPr>
      <w:r>
        <w:t xml:space="preserve"/>
      </w:r>
    </w:p>
    <w:p>
      <w:r>
        <w:br/>
      </w:r>
    </w:p>
    <w:p>
      <w:pPr>
        <w:pStyle w:val="Heading2"/>
        <w:spacing w:after="120" w:before="240"/>
      </w:pPr>
      <w:r>
        <w:rPr>
          <w:rFonts w:ascii="Arial" w:cs="Arial" w:eastAsia="Arial" w:hAnsi="Arial"/>
          <w:b/>
          <w:bCs/>
          <w:color w:val="2E75B6"/>
          <w:sz w:val="26"/>
          <w:szCs w:val="26"/>
        </w:rPr>
        <w:t xml:space="preserve">14.3  Project Folder Structure</w:t>
      </w:r>
    </w:p>
    <w:p>
      <w:pPr>
        <w:spacing w:after="60" w:before="60"/>
      </w:pPr>
      <w:r>
        <w:rPr>
          <w:rFonts w:ascii="Arial" w:cs="Arial" w:eastAsia="Arial" w:hAnsi="Arial"/>
          <w:color w:val="404040"/>
          <w:sz w:val="20"/>
          <w:szCs w:val="20"/>
        </w:rPr>
        <w:t xml:space="preserve">The project follows a clean three-tier separation: client (React frontend), server (Node.js/Express backend), and PostgreSQL database. The docs/ folder holds all project documentation deliverables.</w:t>
      </w:r>
    </w:p>
    <w:p>
      <w:pPr>
        <w:spacing w:after="60" w:before="60"/>
      </w:pPr>
      <w:r>
        <w:t xml:space="preserve"/>
      </w:r>
    </w:p>
    <w:p>
      <w:pPr>
        <w:spacing w:after="24" w:before="24"/>
      </w:pPr>
      <w:r>
        <w:rPr>
          <w:rFonts w:ascii="Courier New" w:cs="Courier New" w:eastAsia="Courier New" w:hAnsi="Courier New"/>
          <w:color w:val="404040"/>
          <w:sz w:val="17"/>
          <w:szCs w:val="17"/>
        </w:rPr>
        <w:t xml:space="preserve">e-pms/</w:t>
      </w:r>
    </w:p>
    <w:p>
      <w:pPr>
        <w:spacing w:after="24" w:before="24"/>
      </w:pPr>
      <w:r>
        <w:rPr>
          <w:rFonts w:ascii="Courier New" w:cs="Courier New" w:eastAsia="Courier New" w:hAnsi="Courier New"/>
          <w:color w:val="404040"/>
          <w:sz w:val="17"/>
          <w:szCs w:val="17"/>
        </w:rPr>
        <w:t xml:space="preserve">├── client/                     (React frontend)</w:t>
      </w:r>
    </w:p>
    <w:p>
      <w:pPr>
        <w:spacing w:after="24" w:before="24"/>
      </w:pPr>
      <w:r>
        <w:rPr>
          <w:rFonts w:ascii="Courier New" w:cs="Courier New" w:eastAsia="Courier New" w:hAnsi="Courier New"/>
          <w:color w:val="404040"/>
          <w:sz w:val="17"/>
          <w:szCs w:val="17"/>
        </w:rPr>
        <w:t xml:space="preserve">│   ├── src/</w:t>
      </w:r>
    </w:p>
    <w:p>
      <w:pPr>
        <w:spacing w:after="24" w:before="24"/>
      </w:pPr>
      <w:r>
        <w:rPr>
          <w:rFonts w:ascii="Courier New" w:cs="Courier New" w:eastAsia="Courier New" w:hAnsi="Courier New"/>
          <w:color w:val="404040"/>
          <w:sz w:val="17"/>
          <w:szCs w:val="17"/>
        </w:rPr>
        <w:t xml:space="preserve">│   │   ├── components/         (Reusable UI: RatingScale, KpaCard, Navbar…)</w:t>
      </w:r>
    </w:p>
    <w:p>
      <w:pPr>
        <w:spacing w:after="24" w:before="24"/>
      </w:pPr>
      <w:r>
        <w:rPr>
          <w:rFonts w:ascii="Courier New" w:cs="Courier New" w:eastAsia="Courier New" w:hAnsi="Courier New"/>
          <w:color w:val="404040"/>
          <w:sz w:val="17"/>
          <w:szCs w:val="17"/>
        </w:rPr>
        <w:t xml:space="preserve">│   │   ├── pages/              (Route-level pages per role)</w:t>
      </w:r>
    </w:p>
    <w:p>
      <w:pPr>
        <w:spacing w:after="24" w:before="24"/>
      </w:pPr>
      <w:r>
        <w:rPr>
          <w:rFonts w:ascii="Courier New" w:cs="Courier New" w:eastAsia="Courier New" w:hAnsi="Courier New"/>
          <w:color w:val="404040"/>
          <w:sz w:val="17"/>
          <w:szCs w:val="17"/>
        </w:rPr>
        <w:t xml:space="preserve">│   │   │   ├── employee/       (GoalSetting, SixMonthReview, SelfAppraisal…)</w:t>
      </w:r>
    </w:p>
    <w:p>
      <w:pPr>
        <w:spacing w:after="24" w:before="24"/>
      </w:pPr>
      <w:r>
        <w:rPr>
          <w:rFonts w:ascii="Courier New" w:cs="Courier New" w:eastAsia="Courier New" w:hAnsi="Courier New"/>
          <w:color w:val="404040"/>
          <w:sz w:val="17"/>
          <w:szCs w:val="17"/>
        </w:rPr>
        <w:t xml:space="preserve">│   │   │   ├── ro/             (GoalApproval, ROrating…)</w:t>
      </w:r>
    </w:p>
    <w:p>
      <w:pPr>
        <w:spacing w:after="24" w:before="24"/>
      </w:pPr>
      <w:r>
        <w:rPr>
          <w:rFonts w:ascii="Courier New" w:cs="Courier New" w:eastAsia="Courier New" w:hAnsi="Courier New"/>
          <w:color w:val="404040"/>
          <w:sz w:val="17"/>
          <w:szCs w:val="17"/>
        </w:rPr>
        <w:t xml:space="preserve">│   │   │   ├── revo/           (RevOrating…)</w:t>
      </w:r>
    </w:p>
    <w:p>
      <w:pPr>
        <w:spacing w:after="24" w:before="24"/>
      </w:pPr>
      <w:r>
        <w:rPr>
          <w:rFonts w:ascii="Courier New" w:cs="Courier New" w:eastAsia="Courier New" w:hAnsi="Courier New"/>
          <w:color w:val="404040"/>
          <w:sz w:val="17"/>
          <w:szCs w:val="17"/>
        </w:rPr>
        <w:t xml:space="preserve">│   │   │   ├── ao/             (AOrating, AcceptAppraisal…)</w:t>
      </w:r>
    </w:p>
    <w:p>
      <w:pPr>
        <w:spacing w:after="24" w:before="24"/>
      </w:pPr>
      <w:r>
        <w:rPr>
          <w:rFonts w:ascii="Courier New" w:cs="Courier New" w:eastAsia="Courier New" w:hAnsi="Courier New"/>
          <w:color w:val="404040"/>
          <w:sz w:val="17"/>
          <w:szCs w:val="17"/>
        </w:rPr>
        <w:t xml:space="preserve">│   │   │   └── admin/          (UserManagement, CycleManagement, AuditViewer…)</w:t>
      </w:r>
    </w:p>
    <w:p>
      <w:pPr>
        <w:spacing w:after="24" w:before="24"/>
      </w:pPr>
      <w:r>
        <w:rPr>
          <w:rFonts w:ascii="Courier New" w:cs="Courier New" w:eastAsia="Courier New" w:hAnsi="Courier New"/>
          <w:color w:val="404040"/>
          <w:sz w:val="17"/>
          <w:szCs w:val="17"/>
        </w:rPr>
        <w:t xml:space="preserve">│   │   ├── context/            (AuthContext.jsx)</w:t>
      </w:r>
    </w:p>
    <w:p>
      <w:pPr>
        <w:spacing w:after="24" w:before="24"/>
      </w:pPr>
      <w:r>
        <w:rPr>
          <w:rFonts w:ascii="Courier New" w:cs="Courier New" w:eastAsia="Courier New" w:hAnsi="Courier New"/>
          <w:color w:val="404040"/>
          <w:sz w:val="17"/>
          <w:szCs w:val="17"/>
        </w:rPr>
        <w:t xml:space="preserve">│   │   ├── hooks/              (useAppraisal, useNotifications…)</w:t>
      </w:r>
    </w:p>
    <w:p>
      <w:pPr>
        <w:spacing w:after="24" w:before="24"/>
      </w:pPr>
      <w:r>
        <w:rPr>
          <w:rFonts w:ascii="Courier New" w:cs="Courier New" w:eastAsia="Courier New" w:hAnsi="Courier New"/>
          <w:color w:val="404040"/>
          <w:sz w:val="17"/>
          <w:szCs w:val="17"/>
        </w:rPr>
        <w:t xml:space="preserve">│   │   ├── services/           (api.js — Axios instance with JWT interceptors)</w:t>
      </w:r>
    </w:p>
    <w:p>
      <w:pPr>
        <w:spacing w:after="24" w:before="24"/>
      </w:pPr>
      <w:r>
        <w:rPr>
          <w:rFonts w:ascii="Courier New" w:cs="Courier New" w:eastAsia="Courier New" w:hAnsi="Courier New"/>
          <w:color w:val="404040"/>
          <w:sz w:val="17"/>
          <w:szCs w:val="17"/>
        </w:rPr>
        <w:t xml:space="preserve">│   │   └── utils/              (scoreDisplay, dateHelpers…)</w:t>
      </w:r>
    </w:p>
    <w:p>
      <w:pPr>
        <w:spacing w:after="24" w:before="24"/>
      </w:pPr>
      <w:r>
        <w:rPr>
          <w:rFonts w:ascii="Courier New" w:cs="Courier New" w:eastAsia="Courier New" w:hAnsi="Courier New"/>
          <w:color w:val="404040"/>
          <w:sz w:val="17"/>
          <w:szCs w:val="17"/>
        </w:rPr>
        <w:t xml:space="preserve">│   └── tailwind.config.js</w:t>
      </w:r>
    </w:p>
    <w:p>
      <w:pPr>
        <w:spacing w:after="24" w:before="24"/>
      </w:pPr>
      <w:r>
        <w:rPr>
          <w:rFonts w:ascii="Courier New" w:cs="Courier New" w:eastAsia="Courier New" w:hAnsi="Courier New"/>
          <w:color w:val="404040"/>
          <w:sz w:val="17"/>
          <w:szCs w:val="17"/>
        </w:rPr>
        <w:t xml:space="preserve">│</w:t>
      </w:r>
    </w:p>
    <w:p>
      <w:pPr>
        <w:spacing w:after="24" w:before="24"/>
      </w:pPr>
      <w:r>
        <w:rPr>
          <w:rFonts w:ascii="Courier New" w:cs="Courier New" w:eastAsia="Courier New" w:hAnsi="Courier New"/>
          <w:color w:val="404040"/>
          <w:sz w:val="17"/>
          <w:szCs w:val="17"/>
        </w:rPr>
        <w:t xml:space="preserve">├── server/                     (Node.js / Express backend)</w:t>
      </w:r>
    </w:p>
    <w:p>
      <w:pPr>
        <w:spacing w:after="24" w:before="24"/>
      </w:pPr>
      <w:r>
        <w:rPr>
          <w:rFonts w:ascii="Courier New" w:cs="Courier New" w:eastAsia="Courier New" w:hAnsi="Courier New"/>
          <w:color w:val="404040"/>
          <w:sz w:val="17"/>
          <w:szCs w:val="17"/>
        </w:rPr>
        <w:t xml:space="preserve">│   ├── routes/                 (auth, appraisals, goals, review, ratings, admin…)</w:t>
      </w:r>
    </w:p>
    <w:p>
      <w:pPr>
        <w:spacing w:after="24" w:before="24"/>
      </w:pPr>
      <w:r>
        <w:rPr>
          <w:rFonts w:ascii="Courier New" w:cs="Courier New" w:eastAsia="Courier New" w:hAnsi="Courier New"/>
          <w:color w:val="404040"/>
          <w:sz w:val="17"/>
          <w:szCs w:val="17"/>
        </w:rPr>
        <w:t xml:space="preserve">│   ├── controllers/            (Business logic per domain)</w:t>
      </w:r>
    </w:p>
    <w:p>
      <w:pPr>
        <w:spacing w:after="24" w:before="24"/>
      </w:pPr>
      <w:r>
        <w:rPr>
          <w:rFonts w:ascii="Courier New" w:cs="Courier New" w:eastAsia="Courier New" w:hAnsi="Courier New"/>
          <w:color w:val="404040"/>
          <w:sz w:val="17"/>
          <w:szCs w:val="17"/>
        </w:rPr>
        <w:t xml:space="preserve">│   ├── middleware/             (authenticate.js, authorise.js, auditLogger.js)</w:t>
      </w:r>
    </w:p>
    <w:p>
      <w:pPr>
        <w:spacing w:after="24" w:before="24"/>
      </w:pPr>
      <w:r>
        <w:rPr>
          <w:rFonts w:ascii="Courier New" w:cs="Courier New" w:eastAsia="Courier New" w:hAnsi="Courier New"/>
          <w:color w:val="404040"/>
          <w:sz w:val="17"/>
          <w:szCs w:val="17"/>
        </w:rPr>
        <w:t xml:space="preserve">│   ├── services/               (scoreEngine.js, pdfGenerator.js, notifier.js)</w:t>
      </w:r>
    </w:p>
    <w:p>
      <w:pPr>
        <w:spacing w:after="24" w:before="24"/>
      </w:pPr>
      <w:r>
        <w:rPr>
          <w:rFonts w:ascii="Courier New" w:cs="Courier New" w:eastAsia="Courier New" w:hAnsi="Courier New"/>
          <w:color w:val="404040"/>
          <w:sz w:val="17"/>
          <w:szCs w:val="17"/>
        </w:rPr>
        <w:t xml:space="preserve">│   ├── db/</w:t>
      </w:r>
    </w:p>
    <w:p>
      <w:pPr>
        <w:spacing w:after="24" w:before="24"/>
      </w:pPr>
      <w:r>
        <w:rPr>
          <w:rFonts w:ascii="Courier New" w:cs="Courier New" w:eastAsia="Courier New" w:hAnsi="Courier New"/>
          <w:color w:val="404040"/>
          <w:sz w:val="17"/>
          <w:szCs w:val="17"/>
        </w:rPr>
        <w:t xml:space="preserve">│   │   ├── knexfile.js</w:t>
      </w:r>
    </w:p>
    <w:p>
      <w:pPr>
        <w:spacing w:after="24" w:before="24"/>
      </w:pPr>
      <w:r>
        <w:rPr>
          <w:rFonts w:ascii="Courier New" w:cs="Courier New" w:eastAsia="Courier New" w:hAnsi="Courier New"/>
          <w:color w:val="404040"/>
          <w:sz w:val="17"/>
          <w:szCs w:val="17"/>
        </w:rPr>
        <w:t xml:space="preserve">│   │   └── migrations/         (Versioned schema migrations)</w:t>
      </w:r>
    </w:p>
    <w:p>
      <w:pPr>
        <w:spacing w:after="24" w:before="24"/>
      </w:pPr>
      <w:r>
        <w:rPr>
          <w:rFonts w:ascii="Courier New" w:cs="Courier New" w:eastAsia="Courier New" w:hAnsi="Courier New"/>
          <w:color w:val="404040"/>
          <w:sz w:val="17"/>
          <w:szCs w:val="17"/>
        </w:rPr>
        <w:t xml:space="preserve">│   └── app.js</w:t>
      </w:r>
    </w:p>
    <w:p>
      <w:pPr>
        <w:spacing w:after="24" w:before="24"/>
      </w:pPr>
      <w:r>
        <w:rPr>
          <w:rFonts w:ascii="Courier New" w:cs="Courier New" w:eastAsia="Courier New" w:hAnsi="Courier New"/>
          <w:color w:val="404040"/>
          <w:sz w:val="17"/>
          <w:szCs w:val="17"/>
        </w:rPr>
        <w:t xml:space="preserve">│</w:t>
      </w:r>
    </w:p>
    <w:p>
      <w:pPr>
        <w:spacing w:after="24" w:before="24"/>
      </w:pPr>
      <w:r>
        <w:rPr>
          <w:rFonts w:ascii="Courier New" w:cs="Courier New" w:eastAsia="Courier New" w:hAnsi="Courier New"/>
          <w:color w:val="404040"/>
          <w:sz w:val="17"/>
          <w:szCs w:val="17"/>
        </w:rPr>
        <w:t xml:space="preserve">├── docs/                       (SRS, System Design, Test Plan, UAT documents)</w:t>
      </w:r>
    </w:p>
    <w:p>
      <w:pPr>
        <w:spacing w:after="24" w:before="24"/>
      </w:pPr>
      <w:r>
        <w:rPr>
          <w:rFonts w:ascii="Courier New" w:cs="Courier New" w:eastAsia="Courier New" w:hAnsi="Courier New"/>
          <w:color w:val="404040"/>
          <w:sz w:val="17"/>
          <w:szCs w:val="17"/>
        </w:rPr>
        <w:t xml:space="preserve">└── README.md                   (Setup, run, and seed instructions)</w:t>
      </w:r>
    </w:p>
    <w:p>
      <w:pPr>
        <w:spacing w:after="60" w:before="60"/>
      </w:pPr>
      <w:r>
        <w:t xml:space="preserve"/>
      </w:r>
    </w:p>
    <w:p>
      <w:r>
        <w:br/>
      </w:r>
    </w:p>
    <w:p>
      <w:pPr>
        <w:pStyle w:val="Heading2"/>
        <w:spacing w:after="120" w:before="240"/>
      </w:pPr>
      <w:r>
        <w:rPr>
          <w:rFonts w:ascii="Arial" w:cs="Arial" w:eastAsia="Arial" w:hAnsi="Arial"/>
          <w:b/>
          <w:bCs/>
          <w:color w:val="2E75B6"/>
          <w:sz w:val="26"/>
          <w:szCs w:val="26"/>
        </w:rPr>
        <w:t xml:space="preserve">14.4  Database Schema (Aligned with Project Submission Template)</w:t>
      </w:r>
    </w:p>
    <w:p>
      <w:pPr>
        <w:spacing w:after="60" w:before="60"/>
      </w:pPr>
      <w:r>
        <w:rPr>
          <w:rFonts w:ascii="Arial" w:cs="Arial" w:eastAsia="Arial" w:hAnsi="Arial"/>
          <w:color w:val="404040"/>
          <w:sz w:val="20"/>
          <w:szCs w:val="20"/>
        </w:rPr>
        <w:t xml:space="preserve">All 18 tables below correspond exactly to the schema defined in the project submission document. Column names and data semantics match the approved Entity–Attribute table submitted to the faculty.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Table Name</w:t>
            </w:r>
          </w:p>
        </w:tc>
        <w:tc>
          <w:tcPr>
            <w:tcW w:type="dxa" w:w="320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Attributes</w:t>
            </w:r>
          </w:p>
        </w:tc>
        <w:tc>
          <w:tcPr>
            <w:tcW w:type="dxa" w:w="416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Design Notes / Rationale</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404040"/>
                <w:sz w:val="18"/>
                <w:szCs w:val="18"/>
              </w:rPr>
              <w:t xml:space="preserve">users</w:t>
            </w:r>
          </w:p>
        </w:tc>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user_id, first_name, last_name, email, password_hash, role, ro_id, rew_id, ao_id, department_id, is_active, created_at, updated_at</w:t>
            </w:r>
          </w:p>
        </w:tc>
        <w:tc>
          <w:tcPr>
            <w:tcW w:type="dxa" w:w="4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Master user directory. role ENUM: employee | reporting_officer | reviewing_officer | accepting_officer | hr_admin. ro_id, rew_id, ao_id are FK→users (self-referencing hierarchy).</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bCs/>
                <w:color w:val="404040"/>
                <w:sz w:val="18"/>
                <w:szCs w:val="18"/>
              </w:rPr>
              <w:t xml:space="preserve">departments</w:t>
            </w:r>
          </w:p>
        </w:tc>
        <w:tc>
          <w:tcPr>
            <w:tcW w:type="dxa" w:w="3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id, name, code, head_user_id, is_active, created_at, updated_at</w:t>
            </w:r>
          </w:p>
        </w:tc>
        <w:tc>
          <w:tcPr>
            <w:tcW w:type="dxa" w:w="41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Lookup table for departments. head_user_id FK→users. Normalised to avoid string duplication.</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404040"/>
                <w:sz w:val="18"/>
                <w:szCs w:val="18"/>
              </w:rPr>
              <w:t xml:space="preserve">appraisal_cycles</w:t>
            </w:r>
          </w:p>
        </w:tc>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cycle_id, cycle_name, cycle_year, goal_setting_start, goal_setting_end, six_month_progress_review_start, six_month_progress_review_end, annual_appraisal_start, annual_appraisal_end, created_by, created_at, closed_at</w:t>
            </w:r>
          </w:p>
        </w:tc>
        <w:tc>
          <w:tcPr>
            <w:tcW w:type="dxa" w:w="4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One row per appraisal year. Date pairs control phase window unlocking in the React frontend. created_by FK→users (HR Admin). No status column — open/closed derived from closed_at IS NULL.</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bCs/>
                <w:color w:val="404040"/>
                <w:sz w:val="18"/>
                <w:szCs w:val="18"/>
              </w:rPr>
              <w:t xml:space="preserve">appraisals</w:t>
            </w:r>
          </w:p>
        </w:tc>
        <w:tc>
          <w:tcPr>
            <w:tcW w:type="dxa" w:w="3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id, employee_id, cycle_id, ro_id, revo_id, ao_id, status (8 states), goals_submitted_at, goals_approved_at, six_month_submitted_at, self_appraisal_submitted_at, ro_rated_at, revo_rated_at, ao_accepted_at, completed_at</w:t>
            </w:r>
          </w:p>
        </w:tc>
        <w:tc>
          <w:tcPr>
            <w:tcW w:type="dxa" w:w="41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Master workflow record per employee per cycle. status ENUM enforces the 8-state machine. All _at timestamps are auto-set by the backend on each transition — never client-editable.</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404040"/>
                <w:sz w:val="18"/>
                <w:szCs w:val="18"/>
              </w:rPr>
              <w:t xml:space="preserve">goals</w:t>
            </w:r>
          </w:p>
        </w:tc>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goal_id, goal_title, goal_description (kpi), user_id, weightage, status (draft|submitted|approved|sent_back), cycle_id, appraisal_id, created_at, updated_at, display_order, ro_approval_remarks</w:t>
            </w:r>
          </w:p>
        </w:tc>
        <w:tc>
          <w:tcPr>
            <w:tcW w:type="dxa" w:w="4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One row per KPA per employee per cycle. weightage is integer 1–100; application layer enforces SUM=100 per appraisal. ro_approval_remarks stores send-back reason from RO.</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bCs/>
                <w:color w:val="404040"/>
                <w:sz w:val="18"/>
                <w:szCs w:val="18"/>
              </w:rPr>
              <w:t xml:space="preserve">kpa_sendback_history</w:t>
            </w:r>
          </w:p>
        </w:tc>
        <w:tc>
          <w:tcPr>
            <w:tcW w:type="dxa" w:w="3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id, appraisal_id, goal_id, sent_back_by, sent_back_role, reason, iteration_number, sent_back_at</w:t>
            </w:r>
          </w:p>
        </w:tc>
        <w:tc>
          <w:tcPr>
            <w:tcW w:type="dxa" w:w="41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Append-only log of every goal send-back event. iteration_number tracks revision count. Preserves full back-and-forth history even after final approval.</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404040"/>
                <w:sz w:val="18"/>
                <w:szCs w:val="18"/>
              </w:rPr>
              <w:t xml:space="preserve">six_month_review</w:t>
            </w:r>
          </w:p>
        </w:tc>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review_id, employee_id, goal_id, cycle_id, appraisal_id, progress_text, submitted_at, reporting_remarks</w:t>
            </w:r>
          </w:p>
        </w:tc>
        <w:tc>
          <w:tcPr>
            <w:tcW w:type="dxa" w:w="4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One row per goal per appraisal (not one row per appraisal). reporting_remarks is NULL until RO responds. submitted_at auto-set. Read-only to both parties once reporting_remarks is saved.</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bCs/>
                <w:color w:val="404040"/>
                <w:sz w:val="18"/>
                <w:szCs w:val="18"/>
              </w:rPr>
              <w:t xml:space="preserve">annual_self_appraisal</w:t>
            </w:r>
          </w:p>
        </w:tc>
        <w:tc>
          <w:tcPr>
            <w:tcW w:type="dxa" w:w="3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appraisal_id, cycle_id, employee_id, self_appraisal_summary, overall_rating, overall_status, submitted_at</w:t>
            </w:r>
          </w:p>
        </w:tc>
        <w:tc>
          <w:tcPr>
            <w:tcW w:type="dxa" w:w="41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Overall self-appraisal text and employee's own holistic rating. submitted_at auto-set. overall_status tracks draft/submitted.</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404040"/>
                <w:sz w:val="18"/>
                <w:szCs w:val="18"/>
              </w:rPr>
              <w:t xml:space="preserve">self_appraisal_kpa_ratings</w:t>
            </w:r>
          </w:p>
        </w:tc>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id, appraisal_id, goal_id, actual_achievement_text, self_rating</w:t>
            </w:r>
          </w:p>
        </w:tc>
        <w:tc>
          <w:tcPr>
            <w:tcW w:type="dxa" w:w="4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One row per goal per appraisal. Stores employee's detailed achievement narrative and their self-rating (1–5) per KPA. Enables per-KPA comparison with officer ratings.</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bCs/>
                <w:color w:val="404040"/>
                <w:sz w:val="18"/>
                <w:szCs w:val="18"/>
              </w:rPr>
              <w:t xml:space="preserve">appraisal_ratings</w:t>
            </w:r>
          </w:p>
        </w:tc>
        <w:tc>
          <w:tcPr>
            <w:tcW w:type="dxa" w:w="3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Id, appraisal_id, goal_id, rater_id, rater_role, rating, remarks, status, created_at</w:t>
            </w:r>
          </w:p>
        </w:tc>
        <w:tc>
          <w:tcPr>
            <w:tcW w:type="dxa" w:w="41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One row per goal per rater. rater_role: ro|revo|ao. For one employee with 5 goals rated by 3 officers = 15 rows. status tracks submitted/pending. RevO cannot see RO ratings until their own are submitted.</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404040"/>
                <w:sz w:val="18"/>
                <w:szCs w:val="18"/>
              </w:rPr>
              <w:t xml:space="preserve">quantitative_attributes_master</w:t>
            </w:r>
          </w:p>
        </w:tc>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attribute_id, attribute_name, attr_category, is_active, description, display_order, created_at, updated_at</w:t>
            </w:r>
          </w:p>
        </w:tc>
        <w:tc>
          <w:tcPr>
            <w:tcW w:type="dxa" w:w="4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Configuration table for all 26 behavioral attributes across 4 categories (Values, Competencies, Personal Qualities, Knowledge). HR Admin can add/deactivate without code changes.</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bCs/>
                <w:color w:val="404040"/>
                <w:sz w:val="18"/>
                <w:szCs w:val="18"/>
              </w:rPr>
              <w:t xml:space="preserve">quantitative_attribute_rating</w:t>
            </w:r>
          </w:p>
        </w:tc>
        <w:tc>
          <w:tcPr>
            <w:tcW w:type="dxa" w:w="3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attribute_rating_id, appraisal_id, rater_id, rater_role, attribute_id, category, attribute_key, rating, created_at, updated_at</w:t>
            </w:r>
          </w:p>
        </w:tc>
        <w:tc>
          <w:tcPr>
            <w:tcW w:type="dxa" w:w="41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One row per attribute per rater per appraisal. 26 attributes × 3 raters = 78 rows per appraisal. category and attribute_key denormalized for historical stability if master changes.</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404040"/>
                <w:sz w:val="18"/>
                <w:szCs w:val="18"/>
              </w:rPr>
              <w:t xml:space="preserve">score_summary</w:t>
            </w:r>
          </w:p>
        </w:tc>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id, appraisal_id, rater_role, kpa_score, values_avg, competencies_avg, personal_qualities_avg, knowledge_avg, ro_score, rew_score, ao_score, overall_score, final_score, grade, is_final, computed_at, created_at, updated_at</w:t>
            </w:r>
          </w:p>
        </w:tc>
        <w:tc>
          <w:tcPr>
            <w:tcW w:type="dxa" w:w="4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One row per rater + one final row (is_final=true). Stores every intermediate computed value so the score breakdown is fully auditable. grade: Outstanding|Very Good|Good|Average|Needs Improvement.</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bCs/>
                <w:color w:val="404040"/>
                <w:sz w:val="18"/>
                <w:szCs w:val="18"/>
              </w:rPr>
              <w:t xml:space="preserve">appraisal_cycle_attribute_snapshot</w:t>
            </w:r>
          </w:p>
        </w:tc>
        <w:tc>
          <w:tcPr>
            <w:tcW w:type="dxa" w:w="3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id, cycle_id, attribute_id (FK), attr_category, attribute_key, attribute_name, display_order, snapshotted_at</w:t>
            </w:r>
          </w:p>
        </w:tc>
        <w:tc>
          <w:tcPr>
            <w:tcW w:type="dxa" w:w="41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Snapshot of all 26 quantitative attributes at the time a cycle is activated. Ensures that if HR Admin later edits the master attributes table, historical appraisals still reference the exact attribute names and categories that were active when the cycle ran. snapshotted_at is auto-set on cycle activation.</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404040"/>
                <w:sz w:val="18"/>
                <w:szCs w:val="18"/>
              </w:rPr>
              <w:t xml:space="preserve">appraisal_cycle_participants</w:t>
            </w:r>
          </w:p>
        </w:tc>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id, cycle_id, employee_id, reporting_officer_id, reviewing_officer_id, accepting_officer_id, is_eligible, created_at</w:t>
            </w:r>
          </w:p>
        </w:tc>
        <w:tc>
          <w:tcPr>
            <w:tcW w:type="dxa" w:w="4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Junction table that formally locks in the three-officer chain for every participant at the moment the cycle is activated. Prevents mid-year HR restructuring from corrupting an ongoing appraisal — the officers stored here are used throughout the cycle regardless of later changes to users.ro_id / rew_id / ao_id.</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bCs/>
                <w:color w:val="404040"/>
                <w:sz w:val="18"/>
                <w:szCs w:val="18"/>
              </w:rPr>
              <w:t xml:space="preserve">notifications</w:t>
            </w:r>
          </w:p>
        </w:tc>
        <w:tc>
          <w:tcPr>
            <w:tcW w:type="dxa" w:w="3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id, recipient_id, sender_id, recipient_email, type, subject, body_content, entity_type, entity_id, status (pending|sent|failed), send_at, created_at</w:t>
            </w:r>
          </w:p>
        </w:tc>
        <w:tc>
          <w:tcPr>
            <w:tcW w:type="dxa" w:w="41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One row per notification event. entity_type+entity_id form a deep-link reference. status tracks delivery. Frontend polls every 60 s for unread count badge.</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404040"/>
                <w:sz w:val="18"/>
                <w:szCs w:val="18"/>
              </w:rPr>
              <w:t xml:space="preserve">audit_log</w:t>
            </w:r>
          </w:p>
        </w:tc>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log_id, actor_id, actor_role, action, action_type, old_value (JSONB), new_value (JSONB), entity_type, entity_id, description, ip_address, created_at</w:t>
            </w:r>
          </w:p>
        </w:tc>
        <w:tc>
          <w:tcPr>
            <w:tcW w:type="dxa" w:w="4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Append-only event log. old_value/new_value store before/after JSON snapshots. Enables HR Admin to reconstruct any state change. Never updated or deleted.</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bCs/>
                <w:color w:val="404040"/>
                <w:sz w:val="18"/>
                <w:szCs w:val="18"/>
              </w:rPr>
              <w:t xml:space="preserve">password_reset_tokens</w:t>
            </w:r>
          </w:p>
        </w:tc>
        <w:tc>
          <w:tcPr>
            <w:tcW w:type="dxa" w:w="3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Id, user_id, token_hash, expires_at, is_used, used_at, created_at</w:t>
            </w:r>
          </w:p>
        </w:tc>
        <w:tc>
          <w:tcPr>
            <w:tcW w:type="dxa" w:w="41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Token stored as SHA-256 hash. expires_at = 1 hour. is_used=true immediately after use (prevents token replay). Supports the Forgot Password flow.</w:t>
            </w:r>
          </w:p>
        </w:tc>
      </w:tr>
    </w:tbl>
    <w:p>
      <w:pPr>
        <w:spacing w:after="60" w:before="60"/>
      </w:pPr>
      <w:r>
        <w:t xml:space="preserve"/>
      </w:r>
    </w:p>
    <w:p>
      <w:r>
        <w:br/>
      </w:r>
    </w:p>
    <w:p>
      <w:pPr>
        <w:pStyle w:val="Heading2"/>
        <w:spacing w:after="120" w:before="240"/>
      </w:pPr>
      <w:r>
        <w:rPr>
          <w:rFonts w:ascii="Arial" w:cs="Arial" w:eastAsia="Arial" w:hAnsi="Arial"/>
          <w:b/>
          <w:bCs/>
          <w:color w:val="2E75B6"/>
          <w:sz w:val="26"/>
          <w:szCs w:val="26"/>
        </w:rPr>
        <w:t xml:space="preserve">14.5  User Stories with Database Traceability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2000"/>
        <w:gridCol w:w="1800"/>
        <w:gridCol w:w="800"/>
        <w:gridCol w:w="2660"/>
      </w:tblGrid>
      <w:tr>
        <w:tc>
          <w:tcPr>
            <w:tcW w:type="dxa" w:w="70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ID</w:t>
            </w:r>
          </w:p>
        </w:tc>
        <w:tc>
          <w:tcPr>
            <w:tcW w:type="dxa" w:w="140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Role</w:t>
            </w:r>
          </w:p>
        </w:tc>
        <w:tc>
          <w:tcPr>
            <w:tcW w:type="dxa" w:w="200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 want to…</w:t>
            </w:r>
          </w:p>
        </w:tc>
        <w:tc>
          <w:tcPr>
            <w:tcW w:type="dxa" w:w="180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So that…</w:t>
            </w:r>
          </w:p>
        </w:tc>
        <w:tc>
          <w:tcPr>
            <w:tcW w:type="dxa" w:w="80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FR ID</w:t>
            </w:r>
          </w:p>
        </w:tc>
        <w:tc>
          <w:tcPr>
            <w:tcW w:type="dxa" w:w="266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DB Impact</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404040"/>
                <w:sz w:val="18"/>
                <w:szCs w:val="18"/>
              </w:rPr>
              <w:t xml:space="preserve">US-01</w:t>
            </w:r>
          </w:p>
        </w:tc>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Employee</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set my KPA goals with weights summing to 100</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so that my Reporting Officer can review and approve my annual targets</w:t>
            </w:r>
          </w:p>
        </w:tc>
        <w:tc>
          <w:tcPr>
            <w:tcW w:type="dxa" w:w="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FR-02</w:t>
            </w:r>
          </w:p>
        </w:tc>
        <w:tc>
          <w:tcPr>
            <w:tcW w:type="dxa" w:w="26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Goals table: status=draft→submitted; weight SUM=100 enforced</w:t>
            </w:r>
          </w:p>
        </w:tc>
      </w:tr>
      <w:tr>
        <w:tc>
          <w:tcPr>
            <w:tcW w:type="dxa" w:w="7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bCs/>
                <w:color w:val="404040"/>
                <w:sz w:val="18"/>
                <w:szCs w:val="18"/>
              </w:rPr>
              <w:t xml:space="preserve">US-02</w:t>
            </w:r>
          </w:p>
        </w:tc>
        <w:tc>
          <w:tcPr>
            <w:tcW w:type="dxa" w:w="1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Reporting Officer</w:t>
            </w:r>
          </w:p>
        </w:tc>
        <w:tc>
          <w:tcPr>
            <w:tcW w:type="dxa" w:w="2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approve or send back employee goals with comments</w:t>
            </w:r>
          </w:p>
        </w:tc>
        <w:tc>
          <w:tcPr>
            <w:tcW w:type="dxa" w:w="1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so that goal quality is consistent before the appraisal cycle begins</w:t>
            </w:r>
          </w:p>
        </w:tc>
        <w:tc>
          <w:tcPr>
            <w:tcW w:type="dxa" w:w="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FR-03</w:t>
            </w:r>
          </w:p>
        </w:tc>
        <w:tc>
          <w:tcPr>
            <w:tcW w:type="dxa" w:w="26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goals.status=approved or sent_back; kpa_sendback_history row inserted</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404040"/>
                <w:sz w:val="18"/>
                <w:szCs w:val="18"/>
              </w:rPr>
              <w:t xml:space="preserve">US-03</w:t>
            </w:r>
          </w:p>
        </w:tc>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Employee</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submit a mid-year progress update per KPA</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so that my manager is kept informed and can provide timely feedback</w:t>
            </w:r>
          </w:p>
        </w:tc>
        <w:tc>
          <w:tcPr>
            <w:tcW w:type="dxa" w:w="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FR-04</w:t>
            </w:r>
          </w:p>
        </w:tc>
        <w:tc>
          <w:tcPr>
            <w:tcW w:type="dxa" w:w="26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six_month_review row per goal; progress_text + submitted_at stored</w:t>
            </w:r>
          </w:p>
        </w:tc>
      </w:tr>
      <w:tr>
        <w:tc>
          <w:tcPr>
            <w:tcW w:type="dxa" w:w="7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bCs/>
                <w:color w:val="404040"/>
                <w:sz w:val="18"/>
                <w:szCs w:val="18"/>
              </w:rPr>
              <w:t xml:space="preserve">US-04</w:t>
            </w:r>
          </w:p>
        </w:tc>
        <w:tc>
          <w:tcPr>
            <w:tcW w:type="dxa" w:w="1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Reporting Officer</w:t>
            </w:r>
          </w:p>
        </w:tc>
        <w:tc>
          <w:tcPr>
            <w:tcW w:type="dxa" w:w="2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write per-KPA remarks on the six-monthly review</w:t>
            </w:r>
          </w:p>
        </w:tc>
        <w:tc>
          <w:tcPr>
            <w:tcW w:type="dxa" w:w="1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so that the employee has documented mid-year feedback to act on</w:t>
            </w:r>
          </w:p>
        </w:tc>
        <w:tc>
          <w:tcPr>
            <w:tcW w:type="dxa" w:w="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FR-04</w:t>
            </w:r>
          </w:p>
        </w:tc>
        <w:tc>
          <w:tcPr>
            <w:tcW w:type="dxa" w:w="26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six_month_review.reporting_remarks updated; notification sent</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404040"/>
                <w:sz w:val="18"/>
                <w:szCs w:val="18"/>
              </w:rPr>
              <w:t xml:space="preserve">US-05</w:t>
            </w:r>
          </w:p>
        </w:tc>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Employee</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submit my annual self-appraisal with achievement text and self-rating</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so that all three officers have my perspective before rating me</w:t>
            </w:r>
          </w:p>
        </w:tc>
        <w:tc>
          <w:tcPr>
            <w:tcW w:type="dxa" w:w="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FR-05</w:t>
            </w:r>
          </w:p>
        </w:tc>
        <w:tc>
          <w:tcPr>
            <w:tcW w:type="dxa" w:w="26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annual_self_appraisal row + self_appraisal_kpa_ratings rows inserted; appraisals.status → self_appraisal_done</w:t>
            </w:r>
          </w:p>
        </w:tc>
      </w:tr>
      <w:tr>
        <w:tc>
          <w:tcPr>
            <w:tcW w:type="dxa" w:w="7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bCs/>
                <w:color w:val="404040"/>
                <w:sz w:val="18"/>
                <w:szCs w:val="18"/>
              </w:rPr>
              <w:t xml:space="preserve">US-06</w:t>
            </w:r>
          </w:p>
        </w:tc>
        <w:tc>
          <w:tcPr>
            <w:tcW w:type="dxa" w:w="1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Reporting Officer</w:t>
            </w:r>
          </w:p>
        </w:tc>
        <w:tc>
          <w:tcPr>
            <w:tcW w:type="dxa" w:w="2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rate each KPA and all 26 attributes independently</w:t>
            </w:r>
          </w:p>
        </w:tc>
        <w:tc>
          <w:tcPr>
            <w:tcW w:type="dxa" w:w="1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so that my assessment is fair and not influenced by other raters</w:t>
            </w:r>
          </w:p>
        </w:tc>
        <w:tc>
          <w:tcPr>
            <w:tcW w:type="dxa" w:w="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FR-06</w:t>
            </w:r>
          </w:p>
        </w:tc>
        <w:tc>
          <w:tcPr>
            <w:tcW w:type="dxa" w:w="26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appraisal_ratings rows (rater_role=ro); quantitative_attribute_rating rows; appraisals.status → ro_rated</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404040"/>
                <w:sz w:val="18"/>
                <w:szCs w:val="18"/>
              </w:rPr>
              <w:t xml:space="preserve">US-07</w:t>
            </w:r>
          </w:p>
        </w:tc>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Reviewing Officer</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rate the employee independently without seeing RO scores first</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so that three genuinely independent opinions form the final score</w:t>
            </w:r>
          </w:p>
        </w:tc>
        <w:tc>
          <w:tcPr>
            <w:tcW w:type="dxa" w:w="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FR-07</w:t>
            </w:r>
          </w:p>
        </w:tc>
        <w:tc>
          <w:tcPr>
            <w:tcW w:type="dxa" w:w="26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RevO rating form hides RO scores until RevO submits; appraisals.status → revo_rated</w:t>
            </w:r>
          </w:p>
        </w:tc>
      </w:tr>
      <w:tr>
        <w:tc>
          <w:tcPr>
            <w:tcW w:type="dxa" w:w="7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bCs/>
                <w:color w:val="404040"/>
                <w:sz w:val="18"/>
                <w:szCs w:val="18"/>
              </w:rPr>
              <w:t xml:space="preserve">US-08</w:t>
            </w:r>
          </w:p>
        </w:tc>
        <w:tc>
          <w:tcPr>
            <w:tcW w:type="dxa" w:w="1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Accepting Officer</w:t>
            </w:r>
          </w:p>
        </w:tc>
        <w:tc>
          <w:tcPr>
            <w:tcW w:type="dxa" w:w="2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accept the appraisal triggering automatic score calculation</w:t>
            </w:r>
          </w:p>
        </w:tc>
        <w:tc>
          <w:tcPr>
            <w:tcW w:type="dxa" w:w="1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so that the final grade is computed precisely using the defined formula</w:t>
            </w:r>
          </w:p>
        </w:tc>
        <w:tc>
          <w:tcPr>
            <w:tcW w:type="dxa" w:w="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FR-08</w:t>
            </w:r>
          </w:p>
        </w:tc>
        <w:tc>
          <w:tcPr>
            <w:tcW w:type="dxa" w:w="26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ao_accepted_at set; scoreEngine fires; score_summary rows inserted; grade stored</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404040"/>
                <w:sz w:val="18"/>
                <w:szCs w:val="18"/>
              </w:rPr>
              <w:t xml:space="preserve">US-09</w:t>
            </w:r>
          </w:p>
        </w:tc>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Employee</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download a PDF of my completed appraisal</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so that I have a permanent personal record</w:t>
            </w:r>
          </w:p>
        </w:tc>
        <w:tc>
          <w:tcPr>
            <w:tcW w:type="dxa" w:w="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FR-09</w:t>
            </w:r>
          </w:p>
        </w:tc>
        <w:tc>
          <w:tcPr>
            <w:tcW w:type="dxa" w:w="26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Puppeteer renders appraisal summary page → PDF response</w:t>
            </w:r>
          </w:p>
        </w:tc>
      </w:tr>
      <w:tr>
        <w:tc>
          <w:tcPr>
            <w:tcW w:type="dxa" w:w="7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bCs/>
                <w:color w:val="404040"/>
                <w:sz w:val="18"/>
                <w:szCs w:val="18"/>
              </w:rPr>
              <w:t xml:space="preserve">US-10</w:t>
            </w:r>
          </w:p>
        </w:tc>
        <w:tc>
          <w:tcPr>
            <w:tcW w:type="dxa" w:w="1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HR Admin</w:t>
            </w:r>
          </w:p>
        </w:tc>
        <w:tc>
          <w:tcPr>
            <w:tcW w:type="dxa" w:w="2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create and configure appraisal cycles with date windows</w:t>
            </w:r>
          </w:p>
        </w:tc>
        <w:tc>
          <w:tcPr>
            <w:tcW w:type="dxa" w:w="1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so that all phases open and close on schedule without manual intervention</w:t>
            </w:r>
          </w:p>
        </w:tc>
        <w:tc>
          <w:tcPr>
            <w:tcW w:type="dxa" w:w="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FR-01</w:t>
            </w:r>
          </w:p>
        </w:tc>
        <w:tc>
          <w:tcPr>
            <w:tcW w:type="dxa" w:w="26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appraisal_cycles row inserted; React frontend unlocks phases by comparing dates</w:t>
            </w:r>
          </w:p>
        </w:tc>
      </w:tr>
    </w:tbl>
    <w:p>
      <w:pPr>
        <w:spacing w:after="60" w:before="60"/>
      </w:pPr>
      <w:r>
        <w:t xml:space="preserve"/>
      </w:r>
    </w:p>
    <w:p>
      <w:r>
        <w:br/>
      </w:r>
    </w:p>
    <w:p>
      <w:pPr>
        <w:pStyle w:val="Heading2"/>
        <w:spacing w:after="120" w:before="240"/>
      </w:pPr>
      <w:r>
        <w:rPr>
          <w:rFonts w:ascii="Arial" w:cs="Arial" w:eastAsia="Arial" w:hAnsi="Arial"/>
          <w:b/>
          <w:bCs/>
          <w:color w:val="2E75B6"/>
          <w:sz w:val="26"/>
          <w:szCs w:val="26"/>
        </w:rPr>
        <w:t xml:space="preserve">14.6  Feature Priority Matrix (MoSCoW)</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1300"/>
        <w:gridCol w:w="3560"/>
      </w:tblGrid>
      <w:tr>
        <w:tc>
          <w:tcPr>
            <w:tcW w:type="dxa" w:w="150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Priority</w:t>
            </w:r>
          </w:p>
        </w:tc>
        <w:tc>
          <w:tcPr>
            <w:tcW w:type="dxa" w:w="300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Feature</w:t>
            </w:r>
          </w:p>
        </w:tc>
        <w:tc>
          <w:tcPr>
            <w:tcW w:type="dxa" w:w="130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FR Ref</w:t>
            </w:r>
          </w:p>
        </w:tc>
        <w:tc>
          <w:tcPr>
            <w:tcW w:type="dxa" w:w="356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DB Tables Involved</w:t>
            </w:r>
          </w:p>
        </w:tc>
      </w:tr>
      <w:tr>
        <w:tc>
          <w:tcPr>
            <w:tcW w:type="dxa" w:w="150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vAlign w:val="center"/>
          </w:tcPr>
          <w:p>
            <w:pPr>
              <w:jc w:val="left"/>
            </w:pPr>
            <w:r>
              <w:rPr>
                <w:rFonts w:ascii="Arial" w:cs="Arial" w:eastAsia="Arial" w:hAnsi="Arial"/>
                <w:b/>
                <w:bCs/>
                <w:color w:val="404040"/>
                <w:sz w:val="18"/>
                <w:szCs w:val="18"/>
              </w:rPr>
              <w:t xml:space="preserve">Must Have</w:t>
            </w:r>
          </w:p>
        </w:tc>
        <w:tc>
          <w:tcPr>
            <w:tcW w:type="dxa" w:w="300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User Authentication (JWT + bcrypt)</w:t>
            </w:r>
          </w:p>
        </w:tc>
        <w:tc>
          <w:tcPr>
            <w:tcW w:type="dxa" w:w="130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FR-01</w:t>
            </w:r>
          </w:p>
        </w:tc>
        <w:tc>
          <w:tcPr>
            <w:tcW w:type="dxa" w:w="356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users, password_reset_tokens</w:t>
            </w:r>
          </w:p>
        </w:tc>
      </w:tr>
      <w:tr>
        <w:tc>
          <w:tcPr>
            <w:tcW w:type="dxa" w:w="150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vAlign w:val="center"/>
          </w:tcPr>
          <w:p>
            <w:pPr>
              <w:jc w:val="left"/>
            </w:pPr>
            <w:r>
              <w:rPr>
                <w:rFonts w:ascii="Arial" w:cs="Arial" w:eastAsia="Arial" w:hAnsi="Arial"/>
                <w:b/>
                <w:bCs/>
                <w:color w:val="404040"/>
                <w:sz w:val="18"/>
                <w:szCs w:val="18"/>
              </w:rPr>
              <w:t xml:space="preserve">Must Have</w:t>
            </w:r>
          </w:p>
        </w:tc>
        <w:tc>
          <w:tcPr>
            <w:tcW w:type="dxa" w:w="300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KPA Goal Setting &amp; Approval Workflow</w:t>
            </w:r>
          </w:p>
        </w:tc>
        <w:tc>
          <w:tcPr>
            <w:tcW w:type="dxa" w:w="130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FR-02, FR-03</w:t>
            </w:r>
          </w:p>
        </w:tc>
        <w:tc>
          <w:tcPr>
            <w:tcW w:type="dxa" w:w="356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goals, kpa_sendback_history, appraisals</w:t>
            </w:r>
          </w:p>
        </w:tc>
      </w:tr>
      <w:tr>
        <w:tc>
          <w:tcPr>
            <w:tcW w:type="dxa" w:w="150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vAlign w:val="center"/>
          </w:tcPr>
          <w:p>
            <w:pPr>
              <w:jc w:val="left"/>
            </w:pPr>
            <w:r>
              <w:rPr>
                <w:rFonts w:ascii="Arial" w:cs="Arial" w:eastAsia="Arial" w:hAnsi="Arial"/>
                <w:b/>
                <w:bCs/>
                <w:color w:val="404040"/>
                <w:sz w:val="18"/>
                <w:szCs w:val="18"/>
              </w:rPr>
              <w:t xml:space="preserve">Must Have</w:t>
            </w:r>
          </w:p>
        </w:tc>
        <w:tc>
          <w:tcPr>
            <w:tcW w:type="dxa" w:w="300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Six-Monthly Progress Review</w:t>
            </w:r>
          </w:p>
        </w:tc>
        <w:tc>
          <w:tcPr>
            <w:tcW w:type="dxa" w:w="130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FR-04</w:t>
            </w:r>
          </w:p>
        </w:tc>
        <w:tc>
          <w:tcPr>
            <w:tcW w:type="dxa" w:w="356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six_month_review, notifications</w:t>
            </w:r>
          </w:p>
        </w:tc>
      </w:tr>
      <w:tr>
        <w:tc>
          <w:tcPr>
            <w:tcW w:type="dxa" w:w="150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vAlign w:val="center"/>
          </w:tcPr>
          <w:p>
            <w:pPr>
              <w:jc w:val="left"/>
            </w:pPr>
            <w:r>
              <w:rPr>
                <w:rFonts w:ascii="Arial" w:cs="Arial" w:eastAsia="Arial" w:hAnsi="Arial"/>
                <w:b/>
                <w:bCs/>
                <w:color w:val="404040"/>
                <w:sz w:val="18"/>
                <w:szCs w:val="18"/>
              </w:rPr>
              <w:t xml:space="preserve">Must Have</w:t>
            </w:r>
          </w:p>
        </w:tc>
        <w:tc>
          <w:tcPr>
            <w:tcW w:type="dxa" w:w="300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Annual Self-Appraisal Submission</w:t>
            </w:r>
          </w:p>
        </w:tc>
        <w:tc>
          <w:tcPr>
            <w:tcW w:type="dxa" w:w="130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FR-05</w:t>
            </w:r>
          </w:p>
        </w:tc>
        <w:tc>
          <w:tcPr>
            <w:tcW w:type="dxa" w:w="356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annual_self_appraisal, self_appraisal_kpa_ratings</w:t>
            </w:r>
          </w:p>
        </w:tc>
      </w:tr>
      <w:tr>
        <w:tc>
          <w:tcPr>
            <w:tcW w:type="dxa" w:w="150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vAlign w:val="center"/>
          </w:tcPr>
          <w:p>
            <w:pPr>
              <w:jc w:val="left"/>
            </w:pPr>
            <w:r>
              <w:rPr>
                <w:rFonts w:ascii="Arial" w:cs="Arial" w:eastAsia="Arial" w:hAnsi="Arial"/>
                <w:b/>
                <w:bCs/>
                <w:color w:val="404040"/>
                <w:sz w:val="18"/>
                <w:szCs w:val="18"/>
              </w:rPr>
              <w:t xml:space="preserve">Must Have</w:t>
            </w:r>
          </w:p>
        </w:tc>
        <w:tc>
          <w:tcPr>
            <w:tcW w:type="dxa" w:w="300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Multi-Level Officer KPA Rating</w:t>
            </w:r>
          </w:p>
        </w:tc>
        <w:tc>
          <w:tcPr>
            <w:tcW w:type="dxa" w:w="130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FR-06, FR-07, FR-08</w:t>
            </w:r>
          </w:p>
        </w:tc>
        <w:tc>
          <w:tcPr>
            <w:tcW w:type="dxa" w:w="356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appraisal_ratings, appraisals</w:t>
            </w:r>
          </w:p>
        </w:tc>
      </w:tr>
      <w:tr>
        <w:tc>
          <w:tcPr>
            <w:tcW w:type="dxa" w:w="150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vAlign w:val="center"/>
          </w:tcPr>
          <w:p>
            <w:pPr>
              <w:jc w:val="left"/>
            </w:pPr>
            <w:r>
              <w:rPr>
                <w:rFonts w:ascii="Arial" w:cs="Arial" w:eastAsia="Arial" w:hAnsi="Arial"/>
                <w:b/>
                <w:bCs/>
                <w:color w:val="404040"/>
                <w:sz w:val="18"/>
                <w:szCs w:val="18"/>
              </w:rPr>
              <w:t xml:space="preserve">Must Have</w:t>
            </w:r>
          </w:p>
        </w:tc>
        <w:tc>
          <w:tcPr>
            <w:tcW w:type="dxa" w:w="300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Quantitative Attribute Rating (26 attributes)</w:t>
            </w:r>
          </w:p>
        </w:tc>
        <w:tc>
          <w:tcPr>
            <w:tcW w:type="dxa" w:w="130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FR-06, FR-07, FR-08</w:t>
            </w:r>
          </w:p>
        </w:tc>
        <w:tc>
          <w:tcPr>
            <w:tcW w:type="dxa" w:w="356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quantitative_attribute_rating, quantitative_attributes_master</w:t>
            </w:r>
          </w:p>
        </w:tc>
      </w:tr>
      <w:tr>
        <w:tc>
          <w:tcPr>
            <w:tcW w:type="dxa" w:w="150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vAlign w:val="center"/>
          </w:tcPr>
          <w:p>
            <w:pPr>
              <w:jc w:val="left"/>
            </w:pPr>
            <w:r>
              <w:rPr>
                <w:rFonts w:ascii="Arial" w:cs="Arial" w:eastAsia="Arial" w:hAnsi="Arial"/>
                <w:b/>
                <w:bCs/>
                <w:color w:val="404040"/>
                <w:sz w:val="18"/>
                <w:szCs w:val="18"/>
              </w:rPr>
              <w:t xml:space="preserve">Must Have</w:t>
            </w:r>
          </w:p>
        </w:tc>
        <w:tc>
          <w:tcPr>
            <w:tcW w:type="dxa" w:w="300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Automated Score Engine (70/10/20 formula)</w:t>
            </w:r>
          </w:p>
        </w:tc>
        <w:tc>
          <w:tcPr>
            <w:tcW w:type="dxa" w:w="130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FR-08</w:t>
            </w:r>
          </w:p>
        </w:tc>
        <w:tc>
          <w:tcPr>
            <w:tcW w:type="dxa" w:w="356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score_summary</w:t>
            </w:r>
          </w:p>
        </w:tc>
      </w:tr>
      <w:tr>
        <w:tc>
          <w:tcPr>
            <w:tcW w:type="dxa" w:w="150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vAlign w:val="center"/>
          </w:tcPr>
          <w:p>
            <w:pPr>
              <w:jc w:val="left"/>
            </w:pPr>
            <w:r>
              <w:rPr>
                <w:rFonts w:ascii="Arial" w:cs="Arial" w:eastAsia="Arial" w:hAnsi="Arial"/>
                <w:b/>
                <w:bCs/>
                <w:color w:val="404040"/>
                <w:sz w:val="18"/>
                <w:szCs w:val="18"/>
              </w:rPr>
              <w:t xml:space="preserve">Must Have</w:t>
            </w:r>
          </w:p>
        </w:tc>
        <w:tc>
          <w:tcPr>
            <w:tcW w:type="dxa" w:w="300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8-State Appraisal Workflow State Machine</w:t>
            </w:r>
          </w:p>
        </w:tc>
        <w:tc>
          <w:tcPr>
            <w:tcW w:type="dxa" w:w="130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FR-02–FR-08</w:t>
            </w:r>
          </w:p>
        </w:tc>
        <w:tc>
          <w:tcPr>
            <w:tcW w:type="dxa" w:w="356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appraisals.status</w:t>
            </w:r>
          </w:p>
        </w:tc>
      </w:tr>
      <w:tr>
        <w:tc>
          <w:tcPr>
            <w:tcW w:type="dxa" w:w="150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vAlign w:val="center"/>
          </w:tcPr>
          <w:p>
            <w:pPr>
              <w:jc w:val="left"/>
            </w:pPr>
            <w:r>
              <w:rPr>
                <w:rFonts w:ascii="Arial" w:cs="Arial" w:eastAsia="Arial" w:hAnsi="Arial"/>
                <w:b/>
                <w:bCs/>
                <w:color w:val="404040"/>
                <w:sz w:val="18"/>
                <w:szCs w:val="18"/>
              </w:rPr>
              <w:t xml:space="preserve">Must Have</w:t>
            </w:r>
          </w:p>
        </w:tc>
        <w:tc>
          <w:tcPr>
            <w:tcW w:type="dxa" w:w="300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Role-Based Access Control (5 roles)</w:t>
            </w:r>
          </w:p>
        </w:tc>
        <w:tc>
          <w:tcPr>
            <w:tcW w:type="dxa" w:w="130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FR-01</w:t>
            </w:r>
          </w:p>
        </w:tc>
        <w:tc>
          <w:tcPr>
            <w:tcW w:type="dxa" w:w="356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users.role, JWT middleware</w:t>
            </w:r>
          </w:p>
        </w:tc>
      </w:tr>
      <w:tr>
        <w:tc>
          <w:tcPr>
            <w:tcW w:type="dxa" w:w="150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vAlign w:val="center"/>
          </w:tcPr>
          <w:p>
            <w:pPr>
              <w:jc w:val="left"/>
            </w:pPr>
            <w:r>
              <w:rPr>
                <w:rFonts w:ascii="Arial" w:cs="Arial" w:eastAsia="Arial" w:hAnsi="Arial"/>
                <w:b/>
                <w:bCs/>
                <w:color w:val="404040"/>
                <w:sz w:val="18"/>
                <w:szCs w:val="18"/>
              </w:rPr>
              <w:t xml:space="preserve">Must Have</w:t>
            </w:r>
          </w:p>
        </w:tc>
        <w:tc>
          <w:tcPr>
            <w:tcW w:type="dxa" w:w="300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HR Admin Cycle Management</w:t>
            </w:r>
          </w:p>
        </w:tc>
        <w:tc>
          <w:tcPr>
            <w:tcW w:type="dxa" w:w="130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FR-01</w:t>
            </w:r>
          </w:p>
        </w:tc>
        <w:tc>
          <w:tcPr>
            <w:tcW w:type="dxa" w:w="356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appraisal_cycles, departments</w:t>
            </w:r>
          </w:p>
        </w:tc>
      </w:tr>
      <w:tr>
        <w:tc>
          <w:tcPr>
            <w:tcW w:type="dxa" w:w="1500"/>
            <w:tcBorders>
              <w:top w:val="single" w:color="CCCCCC" w:sz="4"/>
              <w:left w:val="single" w:color="CCCCCC" w:sz="4"/>
              <w:bottom w:val="single" w:color="CCCCCC" w:sz="4"/>
              <w:right w:val="single" w:color="CCCCCC" w:sz="4"/>
            </w:tcBorders>
            <w:shd w:fill="E2EFDA" w:val="clear"/>
            <w:tcMar>
              <w:top w:type="dxa" w:w="80"/>
              <w:left w:type="dxa" w:w="140"/>
              <w:bottom w:type="dxa" w:w="80"/>
              <w:right w:type="dxa" w:w="140"/>
            </w:tcMar>
            <w:vAlign w:val="center"/>
          </w:tcPr>
          <w:p>
            <w:pPr>
              <w:jc w:val="left"/>
            </w:pPr>
            <w:r>
              <w:rPr>
                <w:rFonts w:ascii="Arial" w:cs="Arial" w:eastAsia="Arial" w:hAnsi="Arial"/>
                <w:b/>
                <w:bCs/>
                <w:color w:val="404040"/>
                <w:sz w:val="18"/>
                <w:szCs w:val="18"/>
              </w:rPr>
              <w:t xml:space="preserve">Should Have</w:t>
            </w:r>
          </w:p>
        </w:tc>
        <w:tc>
          <w:tcPr>
            <w:tcW w:type="dxa" w:w="3000"/>
            <w:tcBorders>
              <w:top w:val="single" w:color="CCCCCC" w:sz="4"/>
              <w:left w:val="single" w:color="CCCCCC" w:sz="4"/>
              <w:bottom w:val="single" w:color="CCCCCC" w:sz="4"/>
              <w:right w:val="single" w:color="CCCCCC" w:sz="4"/>
            </w:tcBorders>
            <w:shd w:fill="E2EFDA"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PDF Appraisal Report Download</w:t>
            </w:r>
          </w:p>
        </w:tc>
        <w:tc>
          <w:tcPr>
            <w:tcW w:type="dxa" w:w="1300"/>
            <w:tcBorders>
              <w:top w:val="single" w:color="CCCCCC" w:sz="4"/>
              <w:left w:val="single" w:color="CCCCCC" w:sz="4"/>
              <w:bottom w:val="single" w:color="CCCCCC" w:sz="4"/>
              <w:right w:val="single" w:color="CCCCCC" w:sz="4"/>
            </w:tcBorders>
            <w:shd w:fill="E2EFDA"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FR-09</w:t>
            </w:r>
          </w:p>
        </w:tc>
        <w:tc>
          <w:tcPr>
            <w:tcW w:type="dxa" w:w="3560"/>
            <w:tcBorders>
              <w:top w:val="single" w:color="CCCCCC" w:sz="4"/>
              <w:left w:val="single" w:color="CCCCCC" w:sz="4"/>
              <w:bottom w:val="single" w:color="CCCCCC" w:sz="4"/>
              <w:right w:val="single" w:color="CCCCCC" w:sz="4"/>
            </w:tcBorders>
            <w:shd w:fill="E2EFDA"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score_summary (read)</w:t>
            </w:r>
          </w:p>
        </w:tc>
      </w:tr>
      <w:tr>
        <w:tc>
          <w:tcPr>
            <w:tcW w:type="dxa" w:w="1500"/>
            <w:tcBorders>
              <w:top w:val="single" w:color="CCCCCC" w:sz="4"/>
              <w:left w:val="single" w:color="CCCCCC" w:sz="4"/>
              <w:bottom w:val="single" w:color="CCCCCC" w:sz="4"/>
              <w:right w:val="single" w:color="CCCCCC" w:sz="4"/>
            </w:tcBorders>
            <w:shd w:fill="E2EFDA" w:val="clear"/>
            <w:tcMar>
              <w:top w:type="dxa" w:w="80"/>
              <w:left w:type="dxa" w:w="140"/>
              <w:bottom w:type="dxa" w:w="80"/>
              <w:right w:type="dxa" w:w="140"/>
            </w:tcMar>
            <w:vAlign w:val="center"/>
          </w:tcPr>
          <w:p>
            <w:pPr>
              <w:jc w:val="left"/>
            </w:pPr>
            <w:r>
              <w:rPr>
                <w:rFonts w:ascii="Arial" w:cs="Arial" w:eastAsia="Arial" w:hAnsi="Arial"/>
                <w:b/>
                <w:bCs/>
                <w:color w:val="404040"/>
                <w:sz w:val="18"/>
                <w:szCs w:val="18"/>
              </w:rPr>
              <w:t xml:space="preserve">Should Have</w:t>
            </w:r>
          </w:p>
        </w:tc>
        <w:tc>
          <w:tcPr>
            <w:tcW w:type="dxa" w:w="3000"/>
            <w:tcBorders>
              <w:top w:val="single" w:color="CCCCCC" w:sz="4"/>
              <w:left w:val="single" w:color="CCCCCC" w:sz="4"/>
              <w:bottom w:val="single" w:color="CCCCCC" w:sz="4"/>
              <w:right w:val="single" w:color="CCCCCC" w:sz="4"/>
            </w:tcBorders>
            <w:shd w:fill="E2EFDA"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In-App Notification System</w:t>
            </w:r>
          </w:p>
        </w:tc>
        <w:tc>
          <w:tcPr>
            <w:tcW w:type="dxa" w:w="1300"/>
            <w:tcBorders>
              <w:top w:val="single" w:color="CCCCCC" w:sz="4"/>
              <w:left w:val="single" w:color="CCCCCC" w:sz="4"/>
              <w:bottom w:val="single" w:color="CCCCCC" w:sz="4"/>
              <w:right w:val="single" w:color="CCCCCC" w:sz="4"/>
            </w:tcBorders>
            <w:shd w:fill="E2EFDA"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FR-10</w:t>
            </w:r>
          </w:p>
        </w:tc>
        <w:tc>
          <w:tcPr>
            <w:tcW w:type="dxa" w:w="3560"/>
            <w:tcBorders>
              <w:top w:val="single" w:color="CCCCCC" w:sz="4"/>
              <w:left w:val="single" w:color="CCCCCC" w:sz="4"/>
              <w:bottom w:val="single" w:color="CCCCCC" w:sz="4"/>
              <w:right w:val="single" w:color="CCCCCC" w:sz="4"/>
            </w:tcBorders>
            <w:shd w:fill="E2EFDA"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notifications</w:t>
            </w:r>
          </w:p>
        </w:tc>
      </w:tr>
      <w:tr>
        <w:tc>
          <w:tcPr>
            <w:tcW w:type="dxa" w:w="1500"/>
            <w:tcBorders>
              <w:top w:val="single" w:color="CCCCCC" w:sz="4"/>
              <w:left w:val="single" w:color="CCCCCC" w:sz="4"/>
              <w:bottom w:val="single" w:color="CCCCCC" w:sz="4"/>
              <w:right w:val="single" w:color="CCCCCC" w:sz="4"/>
            </w:tcBorders>
            <w:shd w:fill="E2EFDA" w:val="clear"/>
            <w:tcMar>
              <w:top w:type="dxa" w:w="80"/>
              <w:left w:type="dxa" w:w="140"/>
              <w:bottom w:type="dxa" w:w="80"/>
              <w:right w:type="dxa" w:w="140"/>
            </w:tcMar>
            <w:vAlign w:val="center"/>
          </w:tcPr>
          <w:p>
            <w:pPr>
              <w:jc w:val="left"/>
            </w:pPr>
            <w:r>
              <w:rPr>
                <w:rFonts w:ascii="Arial" w:cs="Arial" w:eastAsia="Arial" w:hAnsi="Arial"/>
                <w:b/>
                <w:bCs/>
                <w:color w:val="404040"/>
                <w:sz w:val="18"/>
                <w:szCs w:val="18"/>
              </w:rPr>
              <w:t xml:space="preserve">Should Have</w:t>
            </w:r>
          </w:p>
        </w:tc>
        <w:tc>
          <w:tcPr>
            <w:tcW w:type="dxa" w:w="3000"/>
            <w:tcBorders>
              <w:top w:val="single" w:color="CCCCCC" w:sz="4"/>
              <w:left w:val="single" w:color="CCCCCC" w:sz="4"/>
              <w:bottom w:val="single" w:color="CCCCCC" w:sz="4"/>
              <w:right w:val="single" w:color="CCCCCC" w:sz="4"/>
            </w:tcBorders>
            <w:shd w:fill="E2EFDA"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Audit Log Viewer (HR Admin)</w:t>
            </w:r>
          </w:p>
        </w:tc>
        <w:tc>
          <w:tcPr>
            <w:tcW w:type="dxa" w:w="1300"/>
            <w:tcBorders>
              <w:top w:val="single" w:color="CCCCCC" w:sz="4"/>
              <w:left w:val="single" w:color="CCCCCC" w:sz="4"/>
              <w:bottom w:val="single" w:color="CCCCCC" w:sz="4"/>
              <w:right w:val="single" w:color="CCCCCC" w:sz="4"/>
            </w:tcBorders>
            <w:shd w:fill="E2EFDA"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FR-10</w:t>
            </w:r>
          </w:p>
        </w:tc>
        <w:tc>
          <w:tcPr>
            <w:tcW w:type="dxa" w:w="3560"/>
            <w:tcBorders>
              <w:top w:val="single" w:color="CCCCCC" w:sz="4"/>
              <w:left w:val="single" w:color="CCCCCC" w:sz="4"/>
              <w:bottom w:val="single" w:color="CCCCCC" w:sz="4"/>
              <w:right w:val="single" w:color="CCCCCC" w:sz="4"/>
            </w:tcBorders>
            <w:shd w:fill="E2EFDA"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audit_log</w:t>
            </w:r>
          </w:p>
        </w:tc>
      </w:tr>
      <w:tr>
        <w:tc>
          <w:tcPr>
            <w:tcW w:type="dxa" w:w="1500"/>
            <w:tcBorders>
              <w:top w:val="single" w:color="CCCCCC" w:sz="4"/>
              <w:left w:val="single" w:color="CCCCCC" w:sz="4"/>
              <w:bottom w:val="single" w:color="CCCCCC" w:sz="4"/>
              <w:right w:val="single" w:color="CCCCCC" w:sz="4"/>
            </w:tcBorders>
            <w:shd w:fill="E2EFDA" w:val="clear"/>
            <w:tcMar>
              <w:top w:type="dxa" w:w="80"/>
              <w:left w:type="dxa" w:w="140"/>
              <w:bottom w:type="dxa" w:w="80"/>
              <w:right w:type="dxa" w:w="140"/>
            </w:tcMar>
            <w:vAlign w:val="center"/>
          </w:tcPr>
          <w:p>
            <w:pPr>
              <w:jc w:val="left"/>
            </w:pPr>
            <w:r>
              <w:rPr>
                <w:rFonts w:ascii="Arial" w:cs="Arial" w:eastAsia="Arial" w:hAnsi="Arial"/>
                <w:b/>
                <w:bCs/>
                <w:color w:val="404040"/>
                <w:sz w:val="18"/>
                <w:szCs w:val="18"/>
              </w:rPr>
              <w:t xml:space="preserve">Should Have</w:t>
            </w:r>
          </w:p>
        </w:tc>
        <w:tc>
          <w:tcPr>
            <w:tcW w:type="dxa" w:w="3000"/>
            <w:tcBorders>
              <w:top w:val="single" w:color="CCCCCC" w:sz="4"/>
              <w:left w:val="single" w:color="CCCCCC" w:sz="4"/>
              <w:bottom w:val="single" w:color="CCCCCC" w:sz="4"/>
              <w:right w:val="single" w:color="CCCCCC" w:sz="4"/>
            </w:tcBorders>
            <w:shd w:fill="E2EFDA"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Appraisal Status Dashboard (all roles)</w:t>
            </w:r>
          </w:p>
        </w:tc>
        <w:tc>
          <w:tcPr>
            <w:tcW w:type="dxa" w:w="1300"/>
            <w:tcBorders>
              <w:top w:val="single" w:color="CCCCCC" w:sz="4"/>
              <w:left w:val="single" w:color="CCCCCC" w:sz="4"/>
              <w:bottom w:val="single" w:color="CCCCCC" w:sz="4"/>
              <w:right w:val="single" w:color="CCCCCC" w:sz="4"/>
            </w:tcBorders>
            <w:shd w:fill="E2EFDA"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FR-09</w:t>
            </w:r>
          </w:p>
        </w:tc>
        <w:tc>
          <w:tcPr>
            <w:tcW w:type="dxa" w:w="3560"/>
            <w:tcBorders>
              <w:top w:val="single" w:color="CCCCCC" w:sz="4"/>
              <w:left w:val="single" w:color="CCCCCC" w:sz="4"/>
              <w:bottom w:val="single" w:color="CCCCCC" w:sz="4"/>
              <w:right w:val="single" w:color="CCCCCC" w:sz="4"/>
            </w:tcBorders>
            <w:shd w:fill="E2EFDA"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appraisals (read)</w:t>
            </w:r>
          </w:p>
        </w:tc>
      </w:tr>
      <w:tr>
        <w:tc>
          <w:tcPr>
            <w:tcW w:type="dxa" w:w="1500"/>
            <w:tcBorders>
              <w:top w:val="single" w:color="CCCCCC" w:sz="4"/>
              <w:left w:val="single" w:color="CCCCCC" w:sz="4"/>
              <w:bottom w:val="single" w:color="CCCCCC" w:sz="4"/>
              <w:right w:val="single" w:color="CCCCCC" w:sz="4"/>
            </w:tcBorders>
            <w:shd w:fill="FFF2CC" w:val="clear"/>
            <w:tcMar>
              <w:top w:type="dxa" w:w="80"/>
              <w:left w:type="dxa" w:w="140"/>
              <w:bottom w:type="dxa" w:w="80"/>
              <w:right w:type="dxa" w:w="140"/>
            </w:tcMar>
            <w:vAlign w:val="center"/>
          </w:tcPr>
          <w:p>
            <w:pPr>
              <w:jc w:val="left"/>
            </w:pPr>
            <w:r>
              <w:rPr>
                <w:rFonts w:ascii="Arial" w:cs="Arial" w:eastAsia="Arial" w:hAnsi="Arial"/>
                <w:b/>
                <w:bCs/>
                <w:color w:val="404040"/>
                <w:sz w:val="18"/>
                <w:szCs w:val="18"/>
              </w:rPr>
              <w:t xml:space="preserve">Could Have</w:t>
            </w:r>
          </w:p>
        </w:tc>
        <w:tc>
          <w:tcPr>
            <w:tcW w:type="dxa" w:w="3000"/>
            <w:tcBorders>
              <w:top w:val="single" w:color="CCCCCC" w:sz="4"/>
              <w:left w:val="single" w:color="CCCCCC" w:sz="4"/>
              <w:bottom w:val="single" w:color="CCCCCC" w:sz="4"/>
              <w:right w:val="single" w:color="CCCCCC" w:sz="4"/>
            </w:tcBorders>
            <w:shd w:fill="FFF2CC"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Analytics Charts (Recharts radar/bar)</w:t>
            </w:r>
          </w:p>
        </w:tc>
        <w:tc>
          <w:tcPr>
            <w:tcW w:type="dxa" w:w="1300"/>
            <w:tcBorders>
              <w:top w:val="single" w:color="CCCCCC" w:sz="4"/>
              <w:left w:val="single" w:color="CCCCCC" w:sz="4"/>
              <w:bottom w:val="single" w:color="CCCCCC" w:sz="4"/>
              <w:right w:val="single" w:color="CCCCCC" w:sz="4"/>
            </w:tcBorders>
            <w:shd w:fill="FFF2CC"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FR-09</w:t>
            </w:r>
          </w:p>
        </w:tc>
        <w:tc>
          <w:tcPr>
            <w:tcW w:type="dxa" w:w="3560"/>
            <w:tcBorders>
              <w:top w:val="single" w:color="CCCCCC" w:sz="4"/>
              <w:left w:val="single" w:color="CCCCCC" w:sz="4"/>
              <w:bottom w:val="single" w:color="CCCCCC" w:sz="4"/>
              <w:right w:val="single" w:color="CCCCCC" w:sz="4"/>
            </w:tcBorders>
            <w:shd w:fill="FFF2CC"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score_summary (aggregated read)</w:t>
            </w:r>
          </w:p>
        </w:tc>
      </w:tr>
      <w:tr>
        <w:tc>
          <w:tcPr>
            <w:tcW w:type="dxa" w:w="1500"/>
            <w:tcBorders>
              <w:top w:val="single" w:color="CCCCCC" w:sz="4"/>
              <w:left w:val="single" w:color="CCCCCC" w:sz="4"/>
              <w:bottom w:val="single" w:color="CCCCCC" w:sz="4"/>
              <w:right w:val="single" w:color="CCCCCC" w:sz="4"/>
            </w:tcBorders>
            <w:shd w:fill="FFF2CC" w:val="clear"/>
            <w:tcMar>
              <w:top w:type="dxa" w:w="80"/>
              <w:left w:type="dxa" w:w="140"/>
              <w:bottom w:type="dxa" w:w="80"/>
              <w:right w:type="dxa" w:w="140"/>
            </w:tcMar>
            <w:vAlign w:val="center"/>
          </w:tcPr>
          <w:p>
            <w:pPr>
              <w:jc w:val="left"/>
            </w:pPr>
            <w:r>
              <w:rPr>
                <w:rFonts w:ascii="Arial" w:cs="Arial" w:eastAsia="Arial" w:hAnsi="Arial"/>
                <w:b/>
                <w:bCs/>
                <w:color w:val="404040"/>
                <w:sz w:val="18"/>
                <w:szCs w:val="18"/>
              </w:rPr>
              <w:t xml:space="preserve">Could Have</w:t>
            </w:r>
          </w:p>
        </w:tc>
        <w:tc>
          <w:tcPr>
            <w:tcW w:type="dxa" w:w="3000"/>
            <w:tcBorders>
              <w:top w:val="single" w:color="CCCCCC" w:sz="4"/>
              <w:left w:val="single" w:color="CCCCCC" w:sz="4"/>
              <w:bottom w:val="single" w:color="CCCCCC" w:sz="4"/>
              <w:right w:val="single" w:color="CCCCCC" w:sz="4"/>
            </w:tcBorders>
            <w:shd w:fill="FFF2CC"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Forgot-Password Email Flow</w:t>
            </w:r>
          </w:p>
        </w:tc>
        <w:tc>
          <w:tcPr>
            <w:tcW w:type="dxa" w:w="1300"/>
            <w:tcBorders>
              <w:top w:val="single" w:color="CCCCCC" w:sz="4"/>
              <w:left w:val="single" w:color="CCCCCC" w:sz="4"/>
              <w:bottom w:val="single" w:color="CCCCCC" w:sz="4"/>
              <w:right w:val="single" w:color="CCCCCC" w:sz="4"/>
            </w:tcBorders>
            <w:shd w:fill="FFF2CC"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FR-01</w:t>
            </w:r>
          </w:p>
        </w:tc>
        <w:tc>
          <w:tcPr>
            <w:tcW w:type="dxa" w:w="3560"/>
            <w:tcBorders>
              <w:top w:val="single" w:color="CCCCCC" w:sz="4"/>
              <w:left w:val="single" w:color="CCCCCC" w:sz="4"/>
              <w:bottom w:val="single" w:color="CCCCCC" w:sz="4"/>
              <w:right w:val="single" w:color="CCCCCC" w:sz="4"/>
            </w:tcBorders>
            <w:shd w:fill="FFF2CC"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password_reset_tokens</w:t>
            </w:r>
          </w:p>
        </w:tc>
      </w:tr>
      <w:tr>
        <w:tc>
          <w:tcPr>
            <w:tcW w:type="dxa" w:w="1500"/>
            <w:tcBorders>
              <w:top w:val="single" w:color="CCCCCC" w:sz="4"/>
              <w:left w:val="single" w:color="CCCCCC" w:sz="4"/>
              <w:bottom w:val="single" w:color="CCCCCC" w:sz="4"/>
              <w:right w:val="single" w:color="CCCCCC" w:sz="4"/>
            </w:tcBorders>
            <w:shd w:fill="FCE4D6" w:val="clear"/>
            <w:tcMar>
              <w:top w:type="dxa" w:w="80"/>
              <w:left w:type="dxa" w:w="140"/>
              <w:bottom w:type="dxa" w:w="80"/>
              <w:right w:type="dxa" w:w="140"/>
            </w:tcMar>
            <w:vAlign w:val="center"/>
          </w:tcPr>
          <w:p>
            <w:pPr>
              <w:jc w:val="left"/>
            </w:pPr>
            <w:r>
              <w:rPr>
                <w:rFonts w:ascii="Arial" w:cs="Arial" w:eastAsia="Arial" w:hAnsi="Arial"/>
                <w:b/>
                <w:bCs/>
                <w:color w:val="404040"/>
                <w:sz w:val="18"/>
                <w:szCs w:val="18"/>
              </w:rPr>
              <w:t xml:space="preserve">Won't Have (v1)</w:t>
            </w:r>
          </w:p>
        </w:tc>
        <w:tc>
          <w:tcPr>
            <w:tcW w:type="dxa" w:w="3000"/>
            <w:tcBorders>
              <w:top w:val="single" w:color="CCCCCC" w:sz="4"/>
              <w:left w:val="single" w:color="CCCCCC" w:sz="4"/>
              <w:bottom w:val="single" w:color="CCCCCC" w:sz="4"/>
              <w:right w:val="single" w:color="CCCCCC" w:sz="4"/>
            </w:tcBorders>
            <w:shd w:fill="FCE4D6"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Multi-Tenant / Multi-Organisation Support</w:t>
            </w:r>
          </w:p>
        </w:tc>
        <w:tc>
          <w:tcPr>
            <w:tcW w:type="dxa" w:w="1300"/>
            <w:tcBorders>
              <w:top w:val="single" w:color="CCCCCC" w:sz="4"/>
              <w:left w:val="single" w:color="CCCCCC" w:sz="4"/>
              <w:bottom w:val="single" w:color="CCCCCC" w:sz="4"/>
              <w:right w:val="single" w:color="CCCCCC" w:sz="4"/>
            </w:tcBorders>
            <w:shd w:fill="FCE4D6"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w:t>
            </w:r>
          </w:p>
        </w:tc>
        <w:tc>
          <w:tcPr>
            <w:tcW w:type="dxa" w:w="3560"/>
            <w:tcBorders>
              <w:top w:val="single" w:color="CCCCCC" w:sz="4"/>
              <w:left w:val="single" w:color="CCCCCC" w:sz="4"/>
              <w:bottom w:val="single" w:color="CCCCCC" w:sz="4"/>
              <w:right w:val="single" w:color="CCCCCC" w:sz="4"/>
            </w:tcBorders>
            <w:shd w:fill="FCE4D6"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w:t>
            </w:r>
          </w:p>
        </w:tc>
      </w:tr>
      <w:tr>
        <w:tc>
          <w:tcPr>
            <w:tcW w:type="dxa" w:w="1500"/>
            <w:tcBorders>
              <w:top w:val="single" w:color="CCCCCC" w:sz="4"/>
              <w:left w:val="single" w:color="CCCCCC" w:sz="4"/>
              <w:bottom w:val="single" w:color="CCCCCC" w:sz="4"/>
              <w:right w:val="single" w:color="CCCCCC" w:sz="4"/>
            </w:tcBorders>
            <w:shd w:fill="FCE4D6" w:val="clear"/>
            <w:tcMar>
              <w:top w:type="dxa" w:w="80"/>
              <w:left w:type="dxa" w:w="140"/>
              <w:bottom w:type="dxa" w:w="80"/>
              <w:right w:type="dxa" w:w="140"/>
            </w:tcMar>
            <w:vAlign w:val="center"/>
          </w:tcPr>
          <w:p>
            <w:pPr>
              <w:jc w:val="left"/>
            </w:pPr>
            <w:r>
              <w:rPr>
                <w:rFonts w:ascii="Arial" w:cs="Arial" w:eastAsia="Arial" w:hAnsi="Arial"/>
                <w:b/>
                <w:bCs/>
                <w:color w:val="404040"/>
                <w:sz w:val="18"/>
                <w:szCs w:val="18"/>
              </w:rPr>
              <w:t xml:space="preserve">Won't Have (v1)</w:t>
            </w:r>
          </w:p>
        </w:tc>
        <w:tc>
          <w:tcPr>
            <w:tcW w:type="dxa" w:w="3000"/>
            <w:tcBorders>
              <w:top w:val="single" w:color="CCCCCC" w:sz="4"/>
              <w:left w:val="single" w:color="CCCCCC" w:sz="4"/>
              <w:bottom w:val="single" w:color="CCCCCC" w:sz="4"/>
              <w:right w:val="single" w:color="CCCCCC" w:sz="4"/>
            </w:tcBorders>
            <w:shd w:fill="FCE4D6"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Mobile Responsive PWA</w:t>
            </w:r>
          </w:p>
        </w:tc>
        <w:tc>
          <w:tcPr>
            <w:tcW w:type="dxa" w:w="1300"/>
            <w:tcBorders>
              <w:top w:val="single" w:color="CCCCCC" w:sz="4"/>
              <w:left w:val="single" w:color="CCCCCC" w:sz="4"/>
              <w:bottom w:val="single" w:color="CCCCCC" w:sz="4"/>
              <w:right w:val="single" w:color="CCCCCC" w:sz="4"/>
            </w:tcBorders>
            <w:shd w:fill="FCE4D6"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w:t>
            </w:r>
          </w:p>
        </w:tc>
        <w:tc>
          <w:tcPr>
            <w:tcW w:type="dxa" w:w="3560"/>
            <w:tcBorders>
              <w:top w:val="single" w:color="CCCCCC" w:sz="4"/>
              <w:left w:val="single" w:color="CCCCCC" w:sz="4"/>
              <w:bottom w:val="single" w:color="CCCCCC" w:sz="4"/>
              <w:right w:val="single" w:color="CCCCCC" w:sz="4"/>
            </w:tcBorders>
            <w:shd w:fill="FCE4D6"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w:t>
            </w:r>
          </w:p>
        </w:tc>
      </w:tr>
      <w:tr>
        <w:tc>
          <w:tcPr>
            <w:tcW w:type="dxa" w:w="1500"/>
            <w:tcBorders>
              <w:top w:val="single" w:color="CCCCCC" w:sz="4"/>
              <w:left w:val="single" w:color="CCCCCC" w:sz="4"/>
              <w:bottom w:val="single" w:color="CCCCCC" w:sz="4"/>
              <w:right w:val="single" w:color="CCCCCC" w:sz="4"/>
            </w:tcBorders>
            <w:shd w:fill="FCE4D6" w:val="clear"/>
            <w:tcMar>
              <w:top w:type="dxa" w:w="80"/>
              <w:left w:type="dxa" w:w="140"/>
              <w:bottom w:type="dxa" w:w="80"/>
              <w:right w:type="dxa" w:w="140"/>
            </w:tcMar>
            <w:vAlign w:val="center"/>
          </w:tcPr>
          <w:p>
            <w:pPr>
              <w:jc w:val="left"/>
            </w:pPr>
            <w:r>
              <w:rPr>
                <w:rFonts w:ascii="Arial" w:cs="Arial" w:eastAsia="Arial" w:hAnsi="Arial"/>
                <w:b/>
                <w:bCs/>
                <w:color w:val="404040"/>
                <w:sz w:val="18"/>
                <w:szCs w:val="18"/>
              </w:rPr>
              <w:t xml:space="preserve">Won't Have (v1)</w:t>
            </w:r>
          </w:p>
        </w:tc>
        <w:tc>
          <w:tcPr>
            <w:tcW w:type="dxa" w:w="3000"/>
            <w:tcBorders>
              <w:top w:val="single" w:color="CCCCCC" w:sz="4"/>
              <w:left w:val="single" w:color="CCCCCC" w:sz="4"/>
              <w:bottom w:val="single" w:color="CCCCCC" w:sz="4"/>
              <w:right w:val="single" w:color="CCCCCC" w:sz="4"/>
            </w:tcBorders>
            <w:shd w:fill="FCE4D6"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360-Degree Peer Feedback</w:t>
            </w:r>
          </w:p>
        </w:tc>
        <w:tc>
          <w:tcPr>
            <w:tcW w:type="dxa" w:w="1300"/>
            <w:tcBorders>
              <w:top w:val="single" w:color="CCCCCC" w:sz="4"/>
              <w:left w:val="single" w:color="CCCCCC" w:sz="4"/>
              <w:bottom w:val="single" w:color="CCCCCC" w:sz="4"/>
              <w:right w:val="single" w:color="CCCCCC" w:sz="4"/>
            </w:tcBorders>
            <w:shd w:fill="FCE4D6"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w:t>
            </w:r>
          </w:p>
        </w:tc>
        <w:tc>
          <w:tcPr>
            <w:tcW w:type="dxa" w:w="3560"/>
            <w:tcBorders>
              <w:top w:val="single" w:color="CCCCCC" w:sz="4"/>
              <w:left w:val="single" w:color="CCCCCC" w:sz="4"/>
              <w:bottom w:val="single" w:color="CCCCCC" w:sz="4"/>
              <w:right w:val="single" w:color="CCCCCC" w:sz="4"/>
            </w:tcBorders>
            <w:shd w:fill="FCE4D6"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w:t>
            </w:r>
          </w:p>
        </w:tc>
      </w:tr>
    </w:tbl>
    <w:p>
      <w:pPr>
        <w:spacing w:after="60" w:before="60"/>
      </w:pPr>
      <w:r>
        <w:t xml:space="preserve"/>
      </w:r>
    </w:p>
    <w:p>
      <w:r>
        <w:br/>
      </w:r>
    </w:p>
    <w:p>
      <w:pPr>
        <w:pStyle w:val="Heading2"/>
        <w:spacing w:after="120" w:before="240"/>
      </w:pPr>
      <w:r>
        <w:rPr>
          <w:rFonts w:ascii="Arial" w:cs="Arial" w:eastAsia="Arial" w:hAnsi="Arial"/>
          <w:b/>
          <w:bCs/>
          <w:color w:val="2E75B6"/>
          <w:sz w:val="26"/>
          <w:szCs w:val="26"/>
        </w:rPr>
        <w:t xml:space="preserve">14.7  Requirements Traceability Matrix</w:t>
      </w:r>
    </w:p>
    <w:p>
      <w:pPr>
        <w:spacing w:after="60" w:before="60"/>
      </w:pPr>
      <w:r>
        <w:rPr>
          <w:rFonts w:ascii="Arial" w:cs="Arial" w:eastAsia="Arial" w:hAnsi="Arial"/>
          <w:color w:val="404040"/>
          <w:sz w:val="20"/>
          <w:szCs w:val="20"/>
        </w:rPr>
        <w:t xml:space="preserve">Each functional requirement traces from the SRS through the design module to the implementation file and the corresponding test case ID. This matrix ensures complete coverage — every requirement is designed, built, and tested.</w:t>
      </w:r>
    </w:p>
    <w:p>
      <w:pPr>
        <w:spacing w:after="60" w:before="6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2100"/>
        <w:gridCol w:w="2260"/>
        <w:gridCol w:w="900"/>
      </w:tblGrid>
      <w:tr>
        <w:tc>
          <w:tcPr>
            <w:tcW w:type="dxa" w:w="70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FR ID</w:t>
            </w:r>
          </w:p>
        </w:tc>
        <w:tc>
          <w:tcPr>
            <w:tcW w:type="dxa" w:w="240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SRS Description</w:t>
            </w:r>
          </w:p>
        </w:tc>
        <w:tc>
          <w:tcPr>
            <w:tcW w:type="dxa" w:w="210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Design Module</w:t>
            </w:r>
          </w:p>
        </w:tc>
        <w:tc>
          <w:tcPr>
            <w:tcW w:type="dxa" w:w="226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Implementation File</w:t>
            </w:r>
          </w:p>
        </w:tc>
        <w:tc>
          <w:tcPr>
            <w:tcW w:type="dxa" w:w="90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Test Case IDs</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404040"/>
                <w:sz w:val="18"/>
                <w:szCs w:val="18"/>
              </w:rPr>
              <w:t xml:space="preserve">FR-01</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HR Admin creates/activates cycle; JWT login</w:t>
            </w:r>
          </w:p>
        </w:tc>
        <w:tc>
          <w:tcPr>
            <w:tcW w:type="dxa" w:w="21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appraisal_cycles module; AuthService</w:t>
            </w:r>
          </w:p>
        </w:tc>
        <w:tc>
          <w:tcPr>
            <w:tcW w:type="dxa" w:w="22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appraisal_cycles.js, users.js, authenticate.js</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TC-01–TC-05</w:t>
            </w:r>
          </w:p>
        </w:tc>
      </w:tr>
      <w:tr>
        <w:tc>
          <w:tcPr>
            <w:tcW w:type="dxa" w:w="7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bCs/>
                <w:color w:val="404040"/>
                <w:sz w:val="18"/>
                <w:szCs w:val="18"/>
              </w:rPr>
              <w:t xml:space="preserve">FR-02</w:t>
            </w:r>
          </w:p>
        </w:tc>
        <w:tc>
          <w:tcPr>
            <w:tcW w:type="dxa" w:w="2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Employee sets KPA goals; weight validation</w:t>
            </w:r>
          </w:p>
        </w:tc>
        <w:tc>
          <w:tcPr>
            <w:tcW w:type="dxa" w:w="21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GoalSetting page; goals controller</w:t>
            </w:r>
          </w:p>
        </w:tc>
        <w:tc>
          <w:tcPr>
            <w:tcW w:type="dxa" w:w="22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GoalSettingPage.jsx, goalsController.js</w:t>
            </w:r>
          </w:p>
        </w:tc>
        <w:tc>
          <w:tcPr>
            <w:tcW w:type="dxa" w:w="9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TC-06–TC-10</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404040"/>
                <w:sz w:val="18"/>
                <w:szCs w:val="18"/>
              </w:rPr>
              <w:t xml:space="preserve">FR-03</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RO approves / sends back goals</w:t>
            </w:r>
          </w:p>
        </w:tc>
        <w:tc>
          <w:tcPr>
            <w:tcW w:type="dxa" w:w="21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GoalApproval page; goals controller</w:t>
            </w:r>
          </w:p>
        </w:tc>
        <w:tc>
          <w:tcPr>
            <w:tcW w:type="dxa" w:w="22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GoalApprovalPage.jsx, goalsController.js</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TC-11–TC-14</w:t>
            </w:r>
          </w:p>
        </w:tc>
      </w:tr>
      <w:tr>
        <w:tc>
          <w:tcPr>
            <w:tcW w:type="dxa" w:w="7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bCs/>
                <w:color w:val="404040"/>
                <w:sz w:val="18"/>
                <w:szCs w:val="18"/>
              </w:rPr>
              <w:t xml:space="preserve">FR-04</w:t>
            </w:r>
          </w:p>
        </w:tc>
        <w:tc>
          <w:tcPr>
            <w:tcW w:type="dxa" w:w="2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Six-monthly progress review (employee + RO)</w:t>
            </w:r>
          </w:p>
        </w:tc>
        <w:tc>
          <w:tcPr>
            <w:tcW w:type="dxa" w:w="21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SixMonthReview page; reviewController</w:t>
            </w:r>
          </w:p>
        </w:tc>
        <w:tc>
          <w:tcPr>
            <w:tcW w:type="dxa" w:w="22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SixMonthReviewPage.jsx, reviewController.js</w:t>
            </w:r>
          </w:p>
        </w:tc>
        <w:tc>
          <w:tcPr>
            <w:tcW w:type="dxa" w:w="9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TC-15–TC-18</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404040"/>
                <w:sz w:val="18"/>
                <w:szCs w:val="18"/>
              </w:rPr>
              <w:t xml:space="preserve">FR-05</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Annual self-appraisal &amp; KPA achievement text</w:t>
            </w:r>
          </w:p>
        </w:tc>
        <w:tc>
          <w:tcPr>
            <w:tcW w:type="dxa" w:w="21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SelfAppraisal page; selfAppraisalController</w:t>
            </w:r>
          </w:p>
        </w:tc>
        <w:tc>
          <w:tcPr>
            <w:tcW w:type="dxa" w:w="22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SelfAppraisalPage.jsx, selfAppraisalController.js</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TC-19–TC-22</w:t>
            </w:r>
          </w:p>
        </w:tc>
      </w:tr>
      <w:tr>
        <w:tc>
          <w:tcPr>
            <w:tcW w:type="dxa" w:w="7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bCs/>
                <w:color w:val="404040"/>
                <w:sz w:val="18"/>
                <w:szCs w:val="18"/>
              </w:rPr>
              <w:t xml:space="preserve">FR-06</w:t>
            </w:r>
          </w:p>
        </w:tc>
        <w:tc>
          <w:tcPr>
            <w:tcW w:type="dxa" w:w="2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RO rates KPAs + 26 attributes</w:t>
            </w:r>
          </w:p>
        </w:tc>
        <w:tc>
          <w:tcPr>
            <w:tcW w:type="dxa" w:w="21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RORating page; ratingsController</w:t>
            </w:r>
          </w:p>
        </w:tc>
        <w:tc>
          <w:tcPr>
            <w:tcW w:type="dxa" w:w="22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RORatingPage.jsx, ratingsController.js</w:t>
            </w:r>
          </w:p>
        </w:tc>
        <w:tc>
          <w:tcPr>
            <w:tcW w:type="dxa" w:w="9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TC-23–TC-27</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404040"/>
                <w:sz w:val="18"/>
                <w:szCs w:val="18"/>
              </w:rPr>
              <w:t xml:space="preserve">FR-07</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RevO rates independently (RO scores hidden)</w:t>
            </w:r>
          </w:p>
        </w:tc>
        <w:tc>
          <w:tcPr>
            <w:tcW w:type="dxa" w:w="21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RevORating page; ratingsController</w:t>
            </w:r>
          </w:p>
        </w:tc>
        <w:tc>
          <w:tcPr>
            <w:tcW w:type="dxa" w:w="22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RevORatingPage.jsx, ratingsController.js</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TC-28–TC-31</w:t>
            </w:r>
          </w:p>
        </w:tc>
      </w:tr>
      <w:tr>
        <w:tc>
          <w:tcPr>
            <w:tcW w:type="dxa" w:w="7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bCs/>
                <w:color w:val="404040"/>
                <w:sz w:val="18"/>
                <w:szCs w:val="18"/>
              </w:rPr>
              <w:t xml:space="preserve">FR-08</w:t>
            </w:r>
          </w:p>
        </w:tc>
        <w:tc>
          <w:tcPr>
            <w:tcW w:type="dxa" w:w="2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AO accepts → score engine fires</w:t>
            </w:r>
          </w:p>
        </w:tc>
        <w:tc>
          <w:tcPr>
            <w:tcW w:type="dxa" w:w="21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AOAccept page; scoreEngine service</w:t>
            </w:r>
          </w:p>
        </w:tc>
        <w:tc>
          <w:tcPr>
            <w:tcW w:type="dxa" w:w="22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AOAcceptPage.jsx, scoreEngine.js</w:t>
            </w:r>
          </w:p>
        </w:tc>
        <w:tc>
          <w:tcPr>
            <w:tcW w:type="dxa" w:w="9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TC-32–TC-40</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bCs/>
                <w:color w:val="404040"/>
                <w:sz w:val="18"/>
                <w:szCs w:val="18"/>
              </w:rPr>
              <w:t xml:space="preserve">FR-09</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Appraisal summary + PDF download</w:t>
            </w:r>
          </w:p>
        </w:tc>
        <w:tc>
          <w:tcPr>
            <w:tcW w:type="dxa" w:w="21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AppraisalSummary page; pdfGenerator</w:t>
            </w:r>
          </w:p>
        </w:tc>
        <w:tc>
          <w:tcPr>
            <w:tcW w:type="dxa" w:w="22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AppraisalSummary.jsx, pdfGenerator.js</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TC-41–TC-44</w:t>
            </w:r>
          </w:p>
        </w:tc>
      </w:tr>
      <w:tr>
        <w:tc>
          <w:tcPr>
            <w:tcW w:type="dxa" w:w="7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bCs/>
                <w:color w:val="404040"/>
                <w:sz w:val="18"/>
                <w:szCs w:val="18"/>
              </w:rPr>
              <w:t xml:space="preserve">FR-10</w:t>
            </w:r>
          </w:p>
        </w:tc>
        <w:tc>
          <w:tcPr>
            <w:tcW w:type="dxa" w:w="2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Notifications + Audit log</w:t>
            </w:r>
          </w:p>
        </w:tc>
        <w:tc>
          <w:tcPr>
            <w:tcW w:type="dxa" w:w="21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NotificationBell; AuditViewer page</w:t>
            </w:r>
          </w:p>
        </w:tc>
        <w:tc>
          <w:tcPr>
            <w:tcW w:type="dxa" w:w="22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notifier.js, auditLogger.js</w:t>
            </w:r>
          </w:p>
        </w:tc>
        <w:tc>
          <w:tcPr>
            <w:tcW w:type="dxa" w:w="9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TC-45–TC-48</w:t>
            </w:r>
          </w:p>
        </w:tc>
      </w:tr>
    </w:tbl>
    <w:p>
      <w:pPr>
        <w:spacing w:after="60" w:before="60"/>
      </w:pPr>
      <w:r>
        <w:t xml:space="preserve"/>
      </w:r>
    </w:p>
    <w:p>
      <w:r>
        <w:br/>
      </w:r>
    </w:p>
    <w:p>
      <w:pPr>
        <w:pStyle w:val="Heading2"/>
        <w:spacing w:after="120" w:before="240"/>
      </w:pPr>
      <w:r>
        <w:rPr>
          <w:rFonts w:ascii="Arial" w:cs="Arial" w:eastAsia="Arial" w:hAnsi="Arial"/>
          <w:b/>
          <w:bCs/>
          <w:color w:val="2E75B6"/>
          <w:sz w:val="26"/>
          <w:szCs w:val="26"/>
        </w:rPr>
        <w:t xml:space="preserve">14.8  Score Calculation Engine — Formula Reference</w:t>
      </w:r>
    </w:p>
    <w:p>
      <w:pPr>
        <w:spacing w:after="60" w:before="60"/>
      </w:pPr>
      <w:r>
        <w:rPr>
          <w:rFonts w:ascii="Arial" w:cs="Arial" w:eastAsia="Arial" w:hAnsi="Arial"/>
          <w:color w:val="404040"/>
          <w:sz w:val="20"/>
          <w:szCs w:val="20"/>
        </w:rPr>
        <w:t xml:space="preserve">Implemented in server/services/scoreEngine.js using Decimal.js for precision arithmetic. Triggered automatically when the Accepting Officer accepts the appraisal. All intermediate values are persisted to score_summary for full audit transparency.</w:t>
      </w:r>
    </w:p>
    <w:p>
      <w:pPr>
        <w:spacing w:after="60" w:before="60"/>
      </w:pPr>
      <w:r>
        <w:t xml:space="preserve"/>
      </w:r>
    </w:p>
    <w:p>
      <w:pPr>
        <w:spacing w:after="22" w:before="22"/>
      </w:pPr>
      <w:r>
        <w:rPr>
          <w:rFonts w:ascii="Courier New" w:cs="Courier New" w:eastAsia="Courier New" w:hAnsi="Courier New"/>
          <w:color w:val="404040"/>
          <w:sz w:val="17"/>
          <w:szCs w:val="17"/>
        </w:rPr>
        <w:t xml:space="preserve">For each rater r ∈ { RO, RevO, AO }:</w:t>
      </w:r>
    </w:p>
    <w:p>
      <w:pPr>
        <w:spacing w:after="22" w:before="22"/>
      </w:pPr>
      <w:r>
        <w:rPr>
          <w:rFonts w:ascii="Courier New" w:cs="Courier New" w:eastAsia="Courier New" w:hAnsi="Courier New"/>
          <w:color w:val="404040"/>
          <w:sz w:val="17"/>
          <w:szCs w:val="17"/>
        </w:rPr>
        <w:t xml:space="preserve"/>
      </w:r>
    </w:p>
    <w:p>
      <w:pPr>
        <w:spacing w:after="22" w:before="22"/>
      </w:pPr>
      <w:r>
        <w:rPr>
          <w:rFonts w:ascii="Courier New" w:cs="Courier New" w:eastAsia="Courier New" w:hAnsi="Courier New"/>
          <w:color w:val="404040"/>
          <w:sz w:val="17"/>
          <w:szCs w:val="17"/>
        </w:rPr>
        <w:t xml:space="preserve">  KPA_Score(r)     = Σ [ goal_i.weightage × appraisal_ratings.rating(r,i) ] / 100</w:t>
      </w:r>
    </w:p>
    <w:p>
      <w:pPr>
        <w:spacing w:after="22" w:before="22"/>
      </w:pPr>
      <w:r>
        <w:rPr>
          <w:rFonts w:ascii="Courier New" w:cs="Courier New" w:eastAsia="Courier New" w:hAnsi="Courier New"/>
          <w:color w:val="404040"/>
          <w:sz w:val="17"/>
          <w:szCs w:val="17"/>
        </w:rPr>
        <w:t xml:space="preserve">  Values_Avg(r)    = mean( attr ratings where category = 'Values' )</w:t>
      </w:r>
    </w:p>
    <w:p>
      <w:pPr>
        <w:spacing w:after="22" w:before="22"/>
      </w:pPr>
      <w:r>
        <w:rPr>
          <w:rFonts w:ascii="Courier New" w:cs="Courier New" w:eastAsia="Courier New" w:hAnsi="Courier New"/>
          <w:color w:val="404040"/>
          <w:sz w:val="17"/>
          <w:szCs w:val="17"/>
        </w:rPr>
        <w:t xml:space="preserve">  Comp_Avg(r)      = mean( attr ratings where category = 'Competencies' )</w:t>
      </w:r>
    </w:p>
    <w:p>
      <w:pPr>
        <w:spacing w:after="22" w:before="22"/>
      </w:pPr>
      <w:r>
        <w:rPr>
          <w:rFonts w:ascii="Courier New" w:cs="Courier New" w:eastAsia="Courier New" w:hAnsi="Courier New"/>
          <w:color w:val="404040"/>
          <w:sz w:val="17"/>
          <w:szCs w:val="17"/>
        </w:rPr>
        <w:t xml:space="preserve">  PQ_Avg(r)        = mean( attr ratings where category = 'Personal Qualities' )</w:t>
      </w:r>
    </w:p>
    <w:p>
      <w:pPr>
        <w:spacing w:after="22" w:before="22"/>
      </w:pPr>
      <w:r>
        <w:rPr>
          <w:rFonts w:ascii="Courier New" w:cs="Courier New" w:eastAsia="Courier New" w:hAnsi="Courier New"/>
          <w:color w:val="404040"/>
          <w:sz w:val="17"/>
          <w:szCs w:val="17"/>
        </w:rPr>
        <w:t xml:space="preserve">  Know_Avg(r)      = mean( attr ratings where category = 'Knowledge' )</w:t>
      </w:r>
    </w:p>
    <w:p>
      <w:pPr>
        <w:spacing w:after="22" w:before="22"/>
      </w:pPr>
      <w:r>
        <w:rPr>
          <w:rFonts w:ascii="Courier New" w:cs="Courier New" w:eastAsia="Courier New" w:hAnsi="Courier New"/>
          <w:color w:val="404040"/>
          <w:sz w:val="17"/>
          <w:szCs w:val="17"/>
        </w:rPr>
        <w:t xml:space="preserve"/>
      </w:r>
    </w:p>
    <w:p>
      <w:pPr>
        <w:spacing w:after="22" w:before="22"/>
      </w:pPr>
      <w:r>
        <w:rPr>
          <w:rFonts w:ascii="Courier New" w:cs="Courier New" w:eastAsia="Courier New" w:hAnsi="Courier New"/>
          <w:color w:val="404040"/>
          <w:sz w:val="17"/>
          <w:szCs w:val="17"/>
        </w:rPr>
        <w:t xml:space="preserve">  Overall(r) = ( KPA_Score(r) × 0.70 )</w:t>
      </w:r>
    </w:p>
    <w:p>
      <w:pPr>
        <w:spacing w:after="22" w:before="22"/>
      </w:pPr>
      <w:r>
        <w:rPr>
          <w:rFonts w:ascii="Courier New" w:cs="Courier New" w:eastAsia="Courier New" w:hAnsi="Courier New"/>
          <w:color w:val="404040"/>
          <w:sz w:val="17"/>
          <w:szCs w:val="17"/>
        </w:rPr>
        <w:t xml:space="preserve">             + ( Values_Avg(r) × 0.10 )</w:t>
      </w:r>
    </w:p>
    <w:p>
      <w:pPr>
        <w:spacing w:after="22" w:before="22"/>
      </w:pPr>
      <w:r>
        <w:rPr>
          <w:rFonts w:ascii="Courier New" w:cs="Courier New" w:eastAsia="Courier New" w:hAnsi="Courier New"/>
          <w:color w:val="404040"/>
          <w:sz w:val="17"/>
          <w:szCs w:val="17"/>
        </w:rPr>
        <w:t xml:space="preserve">             + ( Comp_Avg(r)   × 0.20 )</w:t>
      </w:r>
    </w:p>
    <w:p>
      <w:pPr>
        <w:spacing w:after="22" w:before="22"/>
      </w:pPr>
      <w:r>
        <w:rPr>
          <w:rFonts w:ascii="Courier New" w:cs="Courier New" w:eastAsia="Courier New" w:hAnsi="Courier New"/>
          <w:color w:val="404040"/>
          <w:sz w:val="17"/>
          <w:szCs w:val="17"/>
        </w:rPr>
        <w:t xml:space="preserve"/>
      </w:r>
    </w:p>
    <w:p>
      <w:pPr>
        <w:spacing w:after="22" w:before="22"/>
      </w:pPr>
      <w:r>
        <w:rPr>
          <w:rFonts w:ascii="Courier New" w:cs="Courier New" w:eastAsia="Courier New" w:hAnsi="Courier New"/>
          <w:color w:val="404040"/>
          <w:sz w:val="17"/>
          <w:szCs w:val="17"/>
        </w:rPr>
        <w:t xml:space="preserve">  score_summary row: { rater_role=r, kpa_score, values_avg, competencies_avg,</w:t>
      </w:r>
    </w:p>
    <w:p>
      <w:pPr>
        <w:spacing w:after="22" w:before="22"/>
      </w:pPr>
      <w:r>
        <w:rPr>
          <w:rFonts w:ascii="Courier New" w:cs="Courier New" w:eastAsia="Courier New" w:hAnsi="Courier New"/>
          <w:color w:val="404040"/>
          <w:sz w:val="17"/>
          <w:szCs w:val="17"/>
        </w:rPr>
        <w:t xml:space="preserve">                        personal_qualities_avg, knowledge_avg, overall_score }</w:t>
      </w:r>
    </w:p>
    <w:p>
      <w:pPr>
        <w:spacing w:after="22" w:before="22"/>
      </w:pPr>
      <w:r>
        <w:rPr>
          <w:rFonts w:ascii="Courier New" w:cs="Courier New" w:eastAsia="Courier New" w:hAnsi="Courier New"/>
          <w:color w:val="404040"/>
          <w:sz w:val="17"/>
          <w:szCs w:val="17"/>
        </w:rPr>
        <w:t xml:space="preserve"/>
      </w:r>
    </w:p>
    <w:p>
      <w:pPr>
        <w:spacing w:after="22" w:before="22"/>
      </w:pPr>
      <w:r>
        <w:rPr>
          <w:rFonts w:ascii="Courier New" w:cs="Courier New" w:eastAsia="Courier New" w:hAnsi="Courier New"/>
          <w:color w:val="404040"/>
          <w:sz w:val="17"/>
          <w:szCs w:val="17"/>
        </w:rPr>
        <w:t xml:space="preserve">Final row (is_final = true):</w:t>
      </w:r>
    </w:p>
    <w:p>
      <w:pPr>
        <w:spacing w:after="22" w:before="22"/>
      </w:pPr>
      <w:r>
        <w:rPr>
          <w:rFonts w:ascii="Courier New" w:cs="Courier New" w:eastAsia="Courier New" w:hAnsi="Courier New"/>
          <w:color w:val="404040"/>
          <w:sz w:val="17"/>
          <w:szCs w:val="17"/>
        </w:rPr>
        <w:t xml:space="preserve">  final_score = ( Overall(RO) + Overall(RevO) + Overall(AO) ) / 3</w:t>
      </w:r>
    </w:p>
    <w:p>
      <w:pPr>
        <w:spacing w:after="22" w:before="22"/>
      </w:pPr>
      <w:r>
        <w:rPr>
          <w:rFonts w:ascii="Courier New" w:cs="Courier New" w:eastAsia="Courier New" w:hAnsi="Courier New"/>
          <w:color w:val="404040"/>
          <w:sz w:val="17"/>
          <w:szCs w:val="17"/>
        </w:rPr>
        <w:t xml:space="preserve">  grade mapping:</w:t>
      </w:r>
    </w:p>
    <w:p>
      <w:pPr>
        <w:spacing w:after="22" w:before="22"/>
      </w:pPr>
      <w:r>
        <w:rPr>
          <w:rFonts w:ascii="Courier New" w:cs="Courier New" w:eastAsia="Courier New" w:hAnsi="Courier New"/>
          <w:color w:val="404040"/>
          <w:sz w:val="17"/>
          <w:szCs w:val="17"/>
        </w:rPr>
        <w:t xml:space="preserve">    4.50 – 5.00  →  Outstanding</w:t>
      </w:r>
    </w:p>
    <w:p>
      <w:pPr>
        <w:spacing w:after="22" w:before="22"/>
      </w:pPr>
      <w:r>
        <w:rPr>
          <w:rFonts w:ascii="Courier New" w:cs="Courier New" w:eastAsia="Courier New" w:hAnsi="Courier New"/>
          <w:color w:val="404040"/>
          <w:sz w:val="17"/>
          <w:szCs w:val="17"/>
        </w:rPr>
        <w:t xml:space="preserve">    3.50 – 4.49  →  Very Good</w:t>
      </w:r>
    </w:p>
    <w:p>
      <w:pPr>
        <w:spacing w:after="22" w:before="22"/>
      </w:pPr>
      <w:r>
        <w:rPr>
          <w:rFonts w:ascii="Courier New" w:cs="Courier New" w:eastAsia="Courier New" w:hAnsi="Courier New"/>
          <w:color w:val="404040"/>
          <w:sz w:val="17"/>
          <w:szCs w:val="17"/>
        </w:rPr>
        <w:t xml:space="preserve">    2.50 – 3.49  →  Good</w:t>
      </w:r>
    </w:p>
    <w:p>
      <w:pPr>
        <w:spacing w:after="22" w:before="22"/>
      </w:pPr>
      <w:r>
        <w:rPr>
          <w:rFonts w:ascii="Courier New" w:cs="Courier New" w:eastAsia="Courier New" w:hAnsi="Courier New"/>
          <w:color w:val="404040"/>
          <w:sz w:val="17"/>
          <w:szCs w:val="17"/>
        </w:rPr>
        <w:t xml:space="preserve">    1.50 – 2.49  →  Average</w:t>
      </w:r>
    </w:p>
    <w:p>
      <w:pPr>
        <w:spacing w:after="22" w:before="22"/>
      </w:pPr>
      <w:r>
        <w:rPr>
          <w:rFonts w:ascii="Courier New" w:cs="Courier New" w:eastAsia="Courier New" w:hAnsi="Courier New"/>
          <w:color w:val="404040"/>
          <w:sz w:val="17"/>
          <w:szCs w:val="17"/>
        </w:rPr>
        <w:t xml:space="preserve">    0.00 – 1.49  →  Needs Improvement</w:t>
      </w:r>
    </w:p>
    <w:p>
      <w:pPr>
        <w:spacing w:after="60" w:before="60"/>
      </w:pPr>
      <w:r>
        <w:t xml:space="preserve"/>
      </w:r>
    </w:p>
    <w:p>
      <w:r>
        <w:br/>
      </w:r>
    </w:p>
    <w:p>
      <w:pPr>
        <w:pStyle w:val="Heading2"/>
        <w:spacing w:after="120" w:before="240"/>
      </w:pPr>
      <w:r>
        <w:rPr>
          <w:rFonts w:ascii="Arial" w:cs="Arial" w:eastAsia="Arial" w:hAnsi="Arial"/>
          <w:b/>
          <w:bCs/>
          <w:color w:val="2E75B6"/>
          <w:sz w:val="26"/>
          <w:szCs w:val="26"/>
        </w:rPr>
        <w:t xml:space="preserve">14.9  API Endpoint Catalogue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500"/>
        <w:gridCol w:w="1200"/>
        <w:gridCol w:w="2700"/>
        <w:gridCol w:w="2360"/>
      </w:tblGrid>
      <w:tr>
        <w:tc>
          <w:tcPr>
            <w:tcW w:type="dxa" w:w="60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Method</w:t>
            </w:r>
          </w:p>
        </w:tc>
        <w:tc>
          <w:tcPr>
            <w:tcW w:type="dxa" w:w="250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Route</w:t>
            </w:r>
          </w:p>
        </w:tc>
        <w:tc>
          <w:tcPr>
            <w:tcW w:type="dxa" w:w="120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Access Role</w:t>
            </w:r>
          </w:p>
        </w:tc>
        <w:tc>
          <w:tcPr>
            <w:tcW w:type="dxa" w:w="270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Description</w:t>
            </w:r>
          </w:p>
        </w:tc>
        <w:tc>
          <w:tcPr>
            <w:tcW w:type="dxa" w:w="236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DB Tables Touched</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Courier New" w:cs="Courier New" w:eastAsia="Courier New" w:hAnsi="Courier New"/>
                <w:b/>
                <w:bCs/>
                <w:color w:val="1F5C1F"/>
                <w:sz w:val="17"/>
                <w:szCs w:val="17"/>
              </w:rPr>
              <w:t xml:space="preserve">POST</w:t>
            </w:r>
          </w:p>
        </w:tc>
        <w:tc>
          <w:tcPr>
            <w:tcW w:type="dxa" w:w="2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/api/auth/login</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Public</w:t>
            </w:r>
          </w:p>
        </w:tc>
        <w:tc>
          <w:tcPr>
            <w:tcW w:type="dxa" w:w="2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Authenticate user → return JWT</w:t>
            </w:r>
          </w:p>
        </w:tc>
        <w:tc>
          <w:tcPr>
            <w:tcW w:type="dxa" w:w="2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users</w:t>
            </w:r>
          </w:p>
        </w:tc>
      </w:tr>
      <w:tr>
        <w:tc>
          <w:tcPr>
            <w:tcW w:type="dxa" w:w="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center"/>
            </w:pPr>
            <w:r>
              <w:rPr>
                <w:rFonts w:ascii="Courier New" w:cs="Courier New" w:eastAsia="Courier New" w:hAnsi="Courier New"/>
                <w:b/>
                <w:bCs/>
                <w:color w:val="1F5C1F"/>
                <w:sz w:val="17"/>
                <w:szCs w:val="17"/>
              </w:rPr>
              <w:t xml:space="preserve">POST</w:t>
            </w:r>
          </w:p>
        </w:tc>
        <w:tc>
          <w:tcPr>
            <w:tcW w:type="dxa" w:w="25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/api/auth/forgot-password</w:t>
            </w:r>
          </w:p>
        </w:tc>
        <w:tc>
          <w:tcPr>
            <w:tcW w:type="dxa" w:w="1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Public</w:t>
            </w:r>
          </w:p>
        </w:tc>
        <w:tc>
          <w:tcPr>
            <w:tcW w:type="dxa" w:w="27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Create password reset token</w:t>
            </w:r>
          </w:p>
        </w:tc>
        <w:tc>
          <w:tcPr>
            <w:tcW w:type="dxa" w:w="23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password_reset_tokens</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Courier New" w:cs="Courier New" w:eastAsia="Courier New" w:hAnsi="Courier New"/>
                <w:b/>
                <w:bCs/>
                <w:color w:val="0B3D91"/>
                <w:sz w:val="17"/>
                <w:szCs w:val="17"/>
              </w:rPr>
              <w:t xml:space="preserve">GET</w:t>
            </w:r>
          </w:p>
        </w:tc>
        <w:tc>
          <w:tcPr>
            <w:tcW w:type="dxa" w:w="2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/api/cycles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HR Admin</w:t>
            </w:r>
          </w:p>
        </w:tc>
        <w:tc>
          <w:tcPr>
            <w:tcW w:type="dxa" w:w="2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List all appraisal cycles</w:t>
            </w:r>
          </w:p>
        </w:tc>
        <w:tc>
          <w:tcPr>
            <w:tcW w:type="dxa" w:w="2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appraisal_cycles</w:t>
            </w:r>
          </w:p>
        </w:tc>
      </w:tr>
      <w:tr>
        <w:tc>
          <w:tcPr>
            <w:tcW w:type="dxa" w:w="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center"/>
            </w:pPr>
            <w:r>
              <w:rPr>
                <w:rFonts w:ascii="Courier New" w:cs="Courier New" w:eastAsia="Courier New" w:hAnsi="Courier New"/>
                <w:b/>
                <w:bCs/>
                <w:color w:val="1F5C1F"/>
                <w:sz w:val="17"/>
                <w:szCs w:val="17"/>
              </w:rPr>
              <w:t xml:space="preserve">POST</w:t>
            </w:r>
          </w:p>
        </w:tc>
        <w:tc>
          <w:tcPr>
            <w:tcW w:type="dxa" w:w="25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/api/cycles</w:t>
            </w:r>
          </w:p>
        </w:tc>
        <w:tc>
          <w:tcPr>
            <w:tcW w:type="dxa" w:w="1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HR Admin</w:t>
            </w:r>
          </w:p>
        </w:tc>
        <w:tc>
          <w:tcPr>
            <w:tcW w:type="dxa" w:w="27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Create and activate a new cycle</w:t>
            </w:r>
          </w:p>
        </w:tc>
        <w:tc>
          <w:tcPr>
            <w:tcW w:type="dxa" w:w="23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appraisal_cycles</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Courier New" w:cs="Courier New" w:eastAsia="Courier New" w:hAnsi="Courier New"/>
                <w:b/>
                <w:bCs/>
                <w:color w:val="0B3D91"/>
                <w:sz w:val="17"/>
                <w:szCs w:val="17"/>
              </w:rPr>
              <w:t xml:space="preserve">GET</w:t>
            </w:r>
          </w:p>
        </w:tc>
        <w:tc>
          <w:tcPr>
            <w:tcW w:type="dxa" w:w="2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/api/appraisals/:id</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Employee/Officers</w:t>
            </w:r>
          </w:p>
        </w:tc>
        <w:tc>
          <w:tcPr>
            <w:tcW w:type="dxa" w:w="2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Get appraisal master record + status</w:t>
            </w:r>
          </w:p>
        </w:tc>
        <w:tc>
          <w:tcPr>
            <w:tcW w:type="dxa" w:w="2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appraisals</w:t>
            </w:r>
          </w:p>
        </w:tc>
      </w:tr>
      <w:tr>
        <w:tc>
          <w:tcPr>
            <w:tcW w:type="dxa" w:w="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center"/>
            </w:pPr>
            <w:r>
              <w:rPr>
                <w:rFonts w:ascii="Courier New" w:cs="Courier New" w:eastAsia="Courier New" w:hAnsi="Courier New"/>
                <w:b/>
                <w:bCs/>
                <w:color w:val="1F5C1F"/>
                <w:sz w:val="17"/>
                <w:szCs w:val="17"/>
              </w:rPr>
              <w:t xml:space="preserve">POST</w:t>
            </w:r>
          </w:p>
        </w:tc>
        <w:tc>
          <w:tcPr>
            <w:tcW w:type="dxa" w:w="25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/api/goals</w:t>
            </w:r>
          </w:p>
        </w:tc>
        <w:tc>
          <w:tcPr>
            <w:tcW w:type="dxa" w:w="1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Employee</w:t>
            </w:r>
          </w:p>
        </w:tc>
        <w:tc>
          <w:tcPr>
            <w:tcW w:type="dxa" w:w="27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Create draft KPA goals</w:t>
            </w:r>
          </w:p>
        </w:tc>
        <w:tc>
          <w:tcPr>
            <w:tcW w:type="dxa" w:w="23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goals</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Courier New" w:cs="Courier New" w:eastAsia="Courier New" w:hAnsi="Courier New"/>
                <w:b/>
                <w:bCs/>
                <w:color w:val="7B3F00"/>
                <w:sz w:val="17"/>
                <w:szCs w:val="17"/>
              </w:rPr>
              <w:t xml:space="preserve">PUT</w:t>
            </w:r>
          </w:p>
        </w:tc>
        <w:tc>
          <w:tcPr>
            <w:tcW w:type="dxa" w:w="2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/api/goals/:appraisalId/submit</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Employee</w:t>
            </w:r>
          </w:p>
        </w:tc>
        <w:tc>
          <w:tcPr>
            <w:tcW w:type="dxa" w:w="2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Submit goals to RO (weight=100 validated)</w:t>
            </w:r>
          </w:p>
        </w:tc>
        <w:tc>
          <w:tcPr>
            <w:tcW w:type="dxa" w:w="2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goals, appraisals</w:t>
            </w:r>
          </w:p>
        </w:tc>
      </w:tr>
      <w:tr>
        <w:tc>
          <w:tcPr>
            <w:tcW w:type="dxa" w:w="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center"/>
            </w:pPr>
            <w:r>
              <w:rPr>
                <w:rFonts w:ascii="Courier New" w:cs="Courier New" w:eastAsia="Courier New" w:hAnsi="Courier New"/>
                <w:b/>
                <w:bCs/>
                <w:color w:val="7B3F00"/>
                <w:sz w:val="17"/>
                <w:szCs w:val="17"/>
              </w:rPr>
              <w:t xml:space="preserve">PUT</w:t>
            </w:r>
          </w:p>
        </w:tc>
        <w:tc>
          <w:tcPr>
            <w:tcW w:type="dxa" w:w="25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/api/goals/:appraisalId/approve</w:t>
            </w:r>
          </w:p>
        </w:tc>
        <w:tc>
          <w:tcPr>
            <w:tcW w:type="dxa" w:w="1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RO</w:t>
            </w:r>
          </w:p>
        </w:tc>
        <w:tc>
          <w:tcPr>
            <w:tcW w:type="dxa" w:w="27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Approve goals → status=approved</w:t>
            </w:r>
          </w:p>
        </w:tc>
        <w:tc>
          <w:tcPr>
            <w:tcW w:type="dxa" w:w="23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goals, appraisals, kpa_sendback_history</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Courier New" w:cs="Courier New" w:eastAsia="Courier New" w:hAnsi="Courier New"/>
                <w:b/>
                <w:bCs/>
                <w:color w:val="7B3F00"/>
                <w:sz w:val="17"/>
                <w:szCs w:val="17"/>
              </w:rPr>
              <w:t xml:space="preserve">PUT</w:t>
            </w:r>
          </w:p>
        </w:tc>
        <w:tc>
          <w:tcPr>
            <w:tcW w:type="dxa" w:w="2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/api/goals/:appraisalId/sendback</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RO</w:t>
            </w:r>
          </w:p>
        </w:tc>
        <w:tc>
          <w:tcPr>
            <w:tcW w:type="dxa" w:w="2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Send back with remarks</w:t>
            </w:r>
          </w:p>
        </w:tc>
        <w:tc>
          <w:tcPr>
            <w:tcW w:type="dxa" w:w="2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goals, kpa_sendback_history</w:t>
            </w:r>
          </w:p>
        </w:tc>
      </w:tr>
      <w:tr>
        <w:tc>
          <w:tcPr>
            <w:tcW w:type="dxa" w:w="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center"/>
            </w:pPr>
            <w:r>
              <w:rPr>
                <w:rFonts w:ascii="Courier New" w:cs="Courier New" w:eastAsia="Courier New" w:hAnsi="Courier New"/>
                <w:b/>
                <w:bCs/>
                <w:color w:val="1F5C1F"/>
                <w:sz w:val="17"/>
                <w:szCs w:val="17"/>
              </w:rPr>
              <w:t xml:space="preserve">POST</w:t>
            </w:r>
          </w:p>
        </w:tc>
        <w:tc>
          <w:tcPr>
            <w:tcW w:type="dxa" w:w="25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/api/review/:appraisalId/employee</w:t>
            </w:r>
          </w:p>
        </w:tc>
        <w:tc>
          <w:tcPr>
            <w:tcW w:type="dxa" w:w="1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Employee</w:t>
            </w:r>
          </w:p>
        </w:tc>
        <w:tc>
          <w:tcPr>
            <w:tcW w:type="dxa" w:w="27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Submit six-monthly progress per goal</w:t>
            </w:r>
          </w:p>
        </w:tc>
        <w:tc>
          <w:tcPr>
            <w:tcW w:type="dxa" w:w="23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six_month_review, notifications</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Courier New" w:cs="Courier New" w:eastAsia="Courier New" w:hAnsi="Courier New"/>
                <w:b/>
                <w:bCs/>
                <w:color w:val="7B3F00"/>
                <w:sz w:val="17"/>
                <w:szCs w:val="17"/>
              </w:rPr>
              <w:t xml:space="preserve">PUT</w:t>
            </w:r>
          </w:p>
        </w:tc>
        <w:tc>
          <w:tcPr>
            <w:tcW w:type="dxa" w:w="2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/api/review/:appraisalId/ro</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RO</w:t>
            </w:r>
          </w:p>
        </w:tc>
        <w:tc>
          <w:tcPr>
            <w:tcW w:type="dxa" w:w="2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Add per-goal reporting remarks</w:t>
            </w:r>
          </w:p>
        </w:tc>
        <w:tc>
          <w:tcPr>
            <w:tcW w:type="dxa" w:w="2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six_month_review, notifications</w:t>
            </w:r>
          </w:p>
        </w:tc>
      </w:tr>
      <w:tr>
        <w:tc>
          <w:tcPr>
            <w:tcW w:type="dxa" w:w="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center"/>
            </w:pPr>
            <w:r>
              <w:rPr>
                <w:rFonts w:ascii="Courier New" w:cs="Courier New" w:eastAsia="Courier New" w:hAnsi="Courier New"/>
                <w:b/>
                <w:bCs/>
                <w:color w:val="1F5C1F"/>
                <w:sz w:val="17"/>
                <w:szCs w:val="17"/>
              </w:rPr>
              <w:t xml:space="preserve">POST</w:t>
            </w:r>
          </w:p>
        </w:tc>
        <w:tc>
          <w:tcPr>
            <w:tcW w:type="dxa" w:w="25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/api/self-appraisal/:appraisalId</w:t>
            </w:r>
          </w:p>
        </w:tc>
        <w:tc>
          <w:tcPr>
            <w:tcW w:type="dxa" w:w="1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Employee</w:t>
            </w:r>
          </w:p>
        </w:tc>
        <w:tc>
          <w:tcPr>
            <w:tcW w:type="dxa" w:w="27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Submit self-appraisal + KPA self-ratings</w:t>
            </w:r>
          </w:p>
        </w:tc>
        <w:tc>
          <w:tcPr>
            <w:tcW w:type="dxa" w:w="23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annual_self_appraisal, self_appraisal_kpa_ratings, appraisals</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Courier New" w:cs="Courier New" w:eastAsia="Courier New" w:hAnsi="Courier New"/>
                <w:b/>
                <w:bCs/>
                <w:color w:val="1F5C1F"/>
                <w:sz w:val="17"/>
                <w:szCs w:val="17"/>
              </w:rPr>
              <w:t xml:space="preserve">POST</w:t>
            </w:r>
          </w:p>
        </w:tc>
        <w:tc>
          <w:tcPr>
            <w:tcW w:type="dxa" w:w="2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/api/ratings/ro/:appraisalId</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RO</w:t>
            </w:r>
          </w:p>
        </w:tc>
        <w:tc>
          <w:tcPr>
            <w:tcW w:type="dxa" w:w="2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Submit KPA ratings + attribute ratings</w:t>
            </w:r>
          </w:p>
        </w:tc>
        <w:tc>
          <w:tcPr>
            <w:tcW w:type="dxa" w:w="2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appraisal_ratings, quantitative_attribute_rating, appraisals</w:t>
            </w:r>
          </w:p>
        </w:tc>
      </w:tr>
      <w:tr>
        <w:tc>
          <w:tcPr>
            <w:tcW w:type="dxa" w:w="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center"/>
            </w:pPr>
            <w:r>
              <w:rPr>
                <w:rFonts w:ascii="Courier New" w:cs="Courier New" w:eastAsia="Courier New" w:hAnsi="Courier New"/>
                <w:b/>
                <w:bCs/>
                <w:color w:val="1F5C1F"/>
                <w:sz w:val="17"/>
                <w:szCs w:val="17"/>
              </w:rPr>
              <w:t xml:space="preserve">POST</w:t>
            </w:r>
          </w:p>
        </w:tc>
        <w:tc>
          <w:tcPr>
            <w:tcW w:type="dxa" w:w="25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/api/ratings/revo/:appraisalId</w:t>
            </w:r>
          </w:p>
        </w:tc>
        <w:tc>
          <w:tcPr>
            <w:tcW w:type="dxa" w:w="1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RevO</w:t>
            </w:r>
          </w:p>
        </w:tc>
        <w:tc>
          <w:tcPr>
            <w:tcW w:type="dxa" w:w="27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Submit independent ratings (RO scores hidden)</w:t>
            </w:r>
          </w:p>
        </w:tc>
        <w:tc>
          <w:tcPr>
            <w:tcW w:type="dxa" w:w="23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appraisal_ratings, quantitative_attribute_rating, appraisals</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Courier New" w:cs="Courier New" w:eastAsia="Courier New" w:hAnsi="Courier New"/>
                <w:b/>
                <w:bCs/>
                <w:color w:val="1F5C1F"/>
                <w:sz w:val="17"/>
                <w:szCs w:val="17"/>
              </w:rPr>
              <w:t xml:space="preserve">POST</w:t>
            </w:r>
          </w:p>
        </w:tc>
        <w:tc>
          <w:tcPr>
            <w:tcW w:type="dxa" w:w="2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/api/ratings/ao/:appraisalId</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AO</w:t>
            </w:r>
          </w:p>
        </w:tc>
        <w:tc>
          <w:tcPr>
            <w:tcW w:type="dxa" w:w="2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Accept appraisal → triggers score engine</w:t>
            </w:r>
          </w:p>
        </w:tc>
        <w:tc>
          <w:tcPr>
            <w:tcW w:type="dxa" w:w="2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appraisal_ratings, quantitative_attribute_rating, score_summary, appraisals</w:t>
            </w:r>
          </w:p>
        </w:tc>
      </w:tr>
      <w:tr>
        <w:tc>
          <w:tcPr>
            <w:tcW w:type="dxa" w:w="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center"/>
            </w:pPr>
            <w:r>
              <w:rPr>
                <w:rFonts w:ascii="Courier New" w:cs="Courier New" w:eastAsia="Courier New" w:hAnsi="Courier New"/>
                <w:b/>
                <w:bCs/>
                <w:color w:val="0B3D91"/>
                <w:sz w:val="17"/>
                <w:szCs w:val="17"/>
              </w:rPr>
              <w:t xml:space="preserve">GET</w:t>
            </w:r>
          </w:p>
        </w:tc>
        <w:tc>
          <w:tcPr>
            <w:tcW w:type="dxa" w:w="25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/api/appraisals/:id/summary</w:t>
            </w:r>
          </w:p>
        </w:tc>
        <w:tc>
          <w:tcPr>
            <w:tcW w:type="dxa" w:w="1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Employee/Officers</w:t>
            </w:r>
          </w:p>
        </w:tc>
        <w:tc>
          <w:tcPr>
            <w:tcW w:type="dxa" w:w="27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Get full score breakdown for display</w:t>
            </w:r>
          </w:p>
        </w:tc>
        <w:tc>
          <w:tcPr>
            <w:tcW w:type="dxa" w:w="23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score_summary, appraisals, goals</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Courier New" w:cs="Courier New" w:eastAsia="Courier New" w:hAnsi="Courier New"/>
                <w:b/>
                <w:bCs/>
                <w:color w:val="0B3D91"/>
                <w:sz w:val="17"/>
                <w:szCs w:val="17"/>
              </w:rPr>
              <w:t xml:space="preserve">GET</w:t>
            </w:r>
          </w:p>
        </w:tc>
        <w:tc>
          <w:tcPr>
            <w:tcW w:type="dxa" w:w="2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/api/appraisals/:id/pdf</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Employee/Officers</w:t>
            </w:r>
          </w:p>
        </w:tc>
        <w:tc>
          <w:tcPr>
            <w:tcW w:type="dxa" w:w="2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Download PDF appraisal report</w:t>
            </w:r>
          </w:p>
        </w:tc>
        <w:tc>
          <w:tcPr>
            <w:tcW w:type="dxa" w:w="2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score_summary (read); Puppeteer</w:t>
            </w:r>
          </w:p>
        </w:tc>
      </w:tr>
      <w:tr>
        <w:tc>
          <w:tcPr>
            <w:tcW w:type="dxa" w:w="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center"/>
            </w:pPr>
            <w:r>
              <w:rPr>
                <w:rFonts w:ascii="Courier New" w:cs="Courier New" w:eastAsia="Courier New" w:hAnsi="Courier New"/>
                <w:b/>
                <w:bCs/>
                <w:color w:val="0B3D91"/>
                <w:sz w:val="17"/>
                <w:szCs w:val="17"/>
              </w:rPr>
              <w:t xml:space="preserve">GET</w:t>
            </w:r>
          </w:p>
        </w:tc>
        <w:tc>
          <w:tcPr>
            <w:tcW w:type="dxa" w:w="25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/api/notifications</w:t>
            </w:r>
          </w:p>
        </w:tc>
        <w:tc>
          <w:tcPr>
            <w:tcW w:type="dxa" w:w="1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Authenticated</w:t>
            </w:r>
          </w:p>
        </w:tc>
        <w:tc>
          <w:tcPr>
            <w:tcW w:type="dxa" w:w="27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Fetch unread notifications</w:t>
            </w:r>
          </w:p>
        </w:tc>
        <w:tc>
          <w:tcPr>
            <w:tcW w:type="dxa" w:w="23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notifications</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Courier New" w:cs="Courier New" w:eastAsia="Courier New" w:hAnsi="Courier New"/>
                <w:b/>
                <w:bCs/>
                <w:color w:val="0B3D91"/>
                <w:sz w:val="17"/>
                <w:szCs w:val="17"/>
              </w:rPr>
              <w:t xml:space="preserve">GET</w:t>
            </w:r>
          </w:p>
        </w:tc>
        <w:tc>
          <w:tcPr>
            <w:tcW w:type="dxa" w:w="2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/api/admin/audit-log</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HR Admin</w:t>
            </w:r>
          </w:p>
        </w:tc>
        <w:tc>
          <w:tcPr>
            <w:tcW w:type="dxa" w:w="2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View system audit trail</w:t>
            </w:r>
          </w:p>
        </w:tc>
        <w:tc>
          <w:tcPr>
            <w:tcW w:type="dxa" w:w="2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audit_log</w:t>
            </w:r>
          </w:p>
        </w:tc>
      </w:tr>
      <w:tr>
        <w:tc>
          <w:tcPr>
            <w:tcW w:type="dxa" w:w="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center"/>
            </w:pPr>
            <w:r>
              <w:rPr>
                <w:rFonts w:ascii="Courier New" w:cs="Courier New" w:eastAsia="Courier New" w:hAnsi="Courier New"/>
                <w:b/>
                <w:bCs/>
                <w:color w:val="0B3D91"/>
                <w:sz w:val="17"/>
                <w:szCs w:val="17"/>
              </w:rPr>
              <w:t xml:space="preserve">GET</w:t>
            </w:r>
          </w:p>
        </w:tc>
        <w:tc>
          <w:tcPr>
            <w:tcW w:type="dxa" w:w="25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/api/admin/users</w:t>
            </w:r>
          </w:p>
        </w:tc>
        <w:tc>
          <w:tcPr>
            <w:tcW w:type="dxa" w:w="1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HR Admin</w:t>
            </w:r>
          </w:p>
        </w:tc>
        <w:tc>
          <w:tcPr>
            <w:tcW w:type="dxa" w:w="27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Manage users and hierarchy</w:t>
            </w:r>
          </w:p>
        </w:tc>
        <w:tc>
          <w:tcPr>
            <w:tcW w:type="dxa" w:w="23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404040"/>
                <w:sz w:val="18"/>
                <w:szCs w:val="18"/>
              </w:rPr>
              <w:t xml:space="preserve">users, departments</w:t>
            </w:r>
          </w:p>
        </w:tc>
      </w:tr>
    </w:tbl>
    <w:p>
      <w:pPr>
        <w:spacing w:after="60" w:before="60"/>
      </w:pPr>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tabs>
        <w:tab w:val="right" w:pos="9026"/>
      </w:tabs>
      <w:spacing w:before="120"/>
    </w:pPr>
    <w:r>
      <w:rPr>
        <w:rFonts w:ascii="Arial" w:cs="Arial" w:eastAsia="Arial" w:hAnsi="Arial"/>
        <w:color w:val="404040"/>
        <w:sz w:val="16"/>
        <w:szCs w:val="16"/>
      </w:rPr>
      <w:t xml:space="preserve">Software Project Management | B.Tech ICT — 6th Semester</w:t>
    </w:r>
    <w:r>
      <w:rPr>
        <w:rFonts w:ascii="Arial" w:cs="Arial" w:eastAsia="Arial" w:hAnsi="Arial"/>
        <w:color w:val="404040"/>
        <w:sz w:val="16"/>
        <w:szCs w:val="16"/>
      </w:rPr>
      <w:t xml:space="preserve">	Page 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spacing w:after="120"/>
    </w:pPr>
    <w:r>
      <w:rPr>
        <w:rFonts w:ascii="Arial" w:cs="Arial" w:eastAsia="Arial" w:hAnsi="Arial"/>
        <w:color w:val="2E75B6"/>
        <w:sz w:val="18"/>
        <w:szCs w:val="18"/>
      </w:rPr>
      <w:t xml:space="preserve">e-PMS — Product Requirements Document  |  </w:t>
    </w:r>
    <w:r>
      <w:rPr>
        <w:rFonts w:ascii="Arial" w:cs="Arial" w:eastAsia="Arial" w:hAnsi="Arial"/>
        <w:b/>
        <w:bCs/>
        <w:color w:val="1F3864"/>
        <w:sz w:val="18"/>
        <w:szCs w:val="18"/>
      </w:rPr>
      <w:t xml:space="preserve">Section 14 — PRD (Database-Aligned)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2026-04-06T09:42:52.930Z</dcterms:created>
  <dcterms:modified xsi:type="dcterms:W3CDTF">2026-04-06T09:42:52.931Z</dcterms:modified>
</cp:coreProperties>
</file>

<file path=docProps/custom.xml><?xml version="1.0" encoding="utf-8"?>
<Properties xmlns="http://schemas.openxmlformats.org/officeDocument/2006/custom-properties" xmlns:vt="http://schemas.openxmlformats.org/officeDocument/2006/docPropsVTypes"/>
</file>