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B2545"/>
          <w:sz w:val="56"/>
        </w:rPr>
        <w:t>QuickBasket</w:t>
      </w:r>
    </w:p>
    <w:p>
      <w:pPr>
        <w:spacing w:after="200"/>
      </w:pPr>
      <w:r>
        <w:rPr>
          <w:color w:val="2E74B5"/>
          <w:sz w:val="34"/>
        </w:rPr>
        <w:t>Feature Prioritization &amp; Quarterly Product Roadmap</w:t>
      </w:r>
    </w:p>
    <w:p>
      <w:pPr>
        <w:spacing w:after="280"/>
      </w:pPr>
      <w:r>
        <w:rPr>
          <w:i/>
          <w:color w:val="5B677A"/>
        </w:rPr>
        <w:t>A Product Management portfolio case study for a quick-commerce grocery delivery app</w:t>
      </w:r>
    </w:p>
    <w:tbl>
      <w:tblPr>
        <w:tblW w:type="auto" w:w="0"/>
        <w:jc w:val="left"/>
        <w:tblLayout w:type="fixed"/>
        <w:tblLook w:firstColumn="1" w:firstRow="1" w:lastColumn="0" w:lastRow="0" w:noHBand="0" w:noVBand="1" w:val="04A0"/>
        <w:tblBorders>
          <w:top w:val="single" w:sz="4" w:color="D7DEE7"/>
          <w:left w:val="single" w:sz="4" w:color="D7DEE7"/>
          <w:bottom w:val="single" w:sz="4" w:color="D7DEE7"/>
          <w:right w:val="single" w:sz="4" w:color="D7DEE7"/>
          <w:insideH w:val="single" w:sz="4" w:color="D7DEE7"/>
          <w:insideV w:val="single" w:sz="4" w:color="D7DEE7"/>
        </w:tblBorders>
      </w:tblPr>
      <w:tblGrid>
        <w:gridCol w:w="9936"/>
      </w:tblGrid>
      <w:tr>
        <w:tc>
          <w:tcPr>
            <w:tcW w:type="dxa" w:w="9360"/>
            <w:tcMar>
              <w:top w:w="120" w:type="dxa"/>
              <w:start w:w="180" w:type="dxa"/>
              <w:bottom w:w="120" w:type="dxa"/>
              <w:end w:w="180" w:type="dxa"/>
            </w:tcMar>
            <w:shd w:fill="F4F6F9"/>
          </w:tcPr>
          <w:p>
            <w:pPr>
              <w:spacing w:after="0"/>
            </w:pPr>
            <w:r>
              <w:rPr>
                <w:b/>
                <w:color w:val="0B2545"/>
              </w:rPr>
              <w:t xml:space="preserve">Transparency note. </w:t>
            </w:r>
            <w:r>
              <w:t>QuickBasket is a fictional, real-world-style product concept. Every feedback item, customer volume, RICE input, KPI, and roadmap decision in this report is synthetic and illustrative. This case is designed to demonstrate product thinking—not to represent company data or research.</w:t>
            </w:r>
          </w:p>
        </w:tc>
      </w:tr>
    </w:tbl>
    <w:p>
      <w:pPr>
        <w:pStyle w:val="Heading1"/>
      </w:pPr>
      <w:r>
        <w:t>Executive summary</w:t>
      </w:r>
    </w:p>
    <w:p>
      <w:r>
        <w:t>QuickBasket helps urban customers buy groceries and essentials quickly. The case focuses on a common product-management problem: there are more reasonable feature requests than one squad can safely ship. I translated 18 synthetic feedback themes into an auditable backlog, scored them with RICE, applied MoSCoW to protect focus, and sequenced delivery across four quarters.</w:t>
      </w:r>
    </w:p>
    <w:tbl>
      <w:tblPr>
        <w:tblW w:type="auto" w:w="0"/>
        <w:jc w:val="left"/>
        <w:tblLayout w:type="fixed"/>
        <w:tblLook w:firstColumn="1" w:firstRow="1" w:lastColumn="0" w:lastRow="0" w:noHBand="0" w:noVBand="1" w:val="04A0"/>
        <w:tblBorders>
          <w:top w:val="single" w:sz="4" w:color="D7DEE7"/>
          <w:left w:val="single" w:sz="4" w:color="D7DEE7"/>
          <w:bottom w:val="single" w:sz="4" w:color="D7DEE7"/>
          <w:right w:val="single" w:sz="4" w:color="D7DEE7"/>
          <w:insideH w:val="single" w:sz="4" w:color="D7DEE7"/>
          <w:insideV w:val="single" w:sz="4" w:color="D7DEE7"/>
        </w:tblBorders>
      </w:tblPr>
      <w:tblGrid>
        <w:gridCol w:w="4968"/>
        <w:gridCol w:w="4968"/>
      </w:tblGrid>
      <w:tr>
        <w:tc>
          <w:tcPr>
            <w:tcW w:type="dxa" w:w="2200"/>
            <w:tcMar>
              <w:top w:w="80" w:type="dxa"/>
              <w:start w:w="120" w:type="dxa"/>
              <w:bottom w:w="80" w:type="dxa"/>
              <w:end w:w="120" w:type="dxa"/>
            </w:tcMar>
            <w:shd w:fill="E8EEF5"/>
            <w:vAlign w:val="center"/>
          </w:tcPr>
          <w:p>
            <w:pPr>
              <w:spacing w:after="0"/>
            </w:pPr>
            <w:r>
              <w:rPr>
                <w:b/>
                <w:color w:val="0B2545"/>
                <w:sz w:val="18"/>
              </w:rPr>
              <w:t>Decision</w:t>
            </w:r>
          </w:p>
        </w:tc>
        <w:tc>
          <w:tcPr>
            <w:tcW w:type="dxa" w:w="7160"/>
            <w:tcMar>
              <w:top w:w="80" w:type="dxa"/>
              <w:start w:w="120" w:type="dxa"/>
              <w:bottom w:w="80" w:type="dxa"/>
              <w:end w:w="120" w:type="dxa"/>
            </w:tcMar>
            <w:shd w:fill="E8EEF5"/>
            <w:vAlign w:val="center"/>
          </w:tcPr>
          <w:p>
            <w:pPr>
              <w:spacing w:after="0"/>
            </w:pPr>
            <w:r>
              <w:rPr>
                <w:b/>
                <w:color w:val="0B2545"/>
                <w:sz w:val="18"/>
              </w:rPr>
              <w:t>Recommendation</w:t>
            </w:r>
          </w:p>
        </w:tc>
      </w:tr>
      <w:tr>
        <w:tc>
          <w:tcPr>
            <w:tcW w:type="dxa" w:w="2200"/>
            <w:tcMar>
              <w:top w:w="80" w:type="dxa"/>
              <w:start w:w="120" w:type="dxa"/>
              <w:bottom w:w="80" w:type="dxa"/>
              <w:end w:w="120" w:type="dxa"/>
            </w:tcMar>
            <w:vAlign w:val="top"/>
          </w:tcPr>
          <w:p>
            <w:pPr>
              <w:spacing w:after="0"/>
            </w:pPr>
            <w:r>
              <w:rPr>
                <w:sz w:val="17"/>
              </w:rPr>
              <w:t>Prioritize first</w:t>
            </w:r>
          </w:p>
        </w:tc>
        <w:tc>
          <w:tcPr>
            <w:tcW w:type="dxa" w:w="7160"/>
            <w:tcMar>
              <w:top w:w="80" w:type="dxa"/>
              <w:start w:w="120" w:type="dxa"/>
              <w:bottom w:w="80" w:type="dxa"/>
              <w:end w:w="120" w:type="dxa"/>
            </w:tcMar>
            <w:vAlign w:val="top"/>
          </w:tcPr>
          <w:p>
            <w:pPr>
              <w:spacing w:after="0"/>
            </w:pPr>
            <w:r>
              <w:rPr>
                <w:sz w:val="17"/>
              </w:rPr>
              <w:t>Order tracking, substitution preferences, one-tap reorder, and availability badges in Q1.</w:t>
            </w:r>
          </w:p>
        </w:tc>
      </w:tr>
      <w:tr>
        <w:tc>
          <w:tcPr>
            <w:tcW w:type="dxa" w:w="2200"/>
            <w:tcMar>
              <w:top w:w="80" w:type="dxa"/>
              <w:start w:w="120" w:type="dxa"/>
              <w:bottom w:w="80" w:type="dxa"/>
              <w:end w:w="120" w:type="dxa"/>
            </w:tcMar>
            <w:vAlign w:val="top"/>
          </w:tcPr>
          <w:p>
            <w:pPr>
              <w:spacing w:after="0"/>
            </w:pPr>
            <w:r>
              <w:rPr>
                <w:sz w:val="17"/>
              </w:rPr>
              <w:t>Why</w:t>
            </w:r>
          </w:p>
        </w:tc>
        <w:tc>
          <w:tcPr>
            <w:tcW w:type="dxa" w:w="7160"/>
            <w:tcMar>
              <w:top w:w="80" w:type="dxa"/>
              <w:start w:w="120" w:type="dxa"/>
              <w:bottom w:w="80" w:type="dxa"/>
              <w:end w:w="120" w:type="dxa"/>
            </w:tcMar>
            <w:vAlign w:val="top"/>
          </w:tcPr>
          <w:p>
            <w:pPr>
              <w:spacing w:after="0"/>
            </w:pPr>
            <w:r>
              <w:rPr>
                <w:sz w:val="17"/>
              </w:rPr>
              <w:t>These solve high-frequency trust and repeat-purchase problems close to the core transaction.</w:t>
            </w:r>
          </w:p>
        </w:tc>
      </w:tr>
      <w:tr>
        <w:tc>
          <w:tcPr>
            <w:tcW w:type="dxa" w:w="2200"/>
            <w:tcMar>
              <w:top w:w="80" w:type="dxa"/>
              <w:start w:w="120" w:type="dxa"/>
              <w:bottom w:w="80" w:type="dxa"/>
              <w:end w:w="120" w:type="dxa"/>
            </w:tcMar>
            <w:vAlign w:val="top"/>
          </w:tcPr>
          <w:p>
            <w:pPr>
              <w:spacing w:after="0"/>
            </w:pPr>
            <w:r>
              <w:rPr>
                <w:sz w:val="17"/>
              </w:rPr>
              <w:t>Defer deliberately</w:t>
            </w:r>
          </w:p>
        </w:tc>
        <w:tc>
          <w:tcPr>
            <w:tcW w:type="dxa" w:w="7160"/>
            <w:tcMar>
              <w:top w:w="80" w:type="dxa"/>
              <w:start w:w="120" w:type="dxa"/>
              <w:bottom w:w="80" w:type="dxa"/>
              <w:end w:w="120" w:type="dxa"/>
            </w:tcMar>
            <w:vAlign w:val="top"/>
          </w:tcPr>
          <w:p>
            <w:pPr>
              <w:spacing w:after="0"/>
            </w:pPr>
            <w:r>
              <w:rPr>
                <w:sz w:val="17"/>
              </w:rPr>
              <w:t>Gamified loyalty, dark-store selection, and sustainability preferences until the core order experience is reliable.</w:t>
            </w:r>
          </w:p>
        </w:tc>
      </w:tr>
      <w:tr>
        <w:tc>
          <w:tcPr>
            <w:tcW w:type="dxa" w:w="2200"/>
            <w:tcMar>
              <w:top w:w="80" w:type="dxa"/>
              <w:start w:w="120" w:type="dxa"/>
              <w:bottom w:w="80" w:type="dxa"/>
              <w:end w:w="120" w:type="dxa"/>
            </w:tcMar>
            <w:vAlign w:val="top"/>
          </w:tcPr>
          <w:p>
            <w:pPr>
              <w:spacing w:after="0"/>
            </w:pPr>
            <w:r>
              <w:rPr>
                <w:sz w:val="17"/>
              </w:rPr>
              <w:t>Success definition</w:t>
            </w:r>
          </w:p>
        </w:tc>
        <w:tc>
          <w:tcPr>
            <w:tcW w:type="dxa" w:w="7160"/>
            <w:tcMar>
              <w:top w:w="80" w:type="dxa"/>
              <w:start w:w="120" w:type="dxa"/>
              <w:bottom w:w="80" w:type="dxa"/>
              <w:end w:w="120" w:type="dxa"/>
            </w:tcMar>
            <w:vAlign w:val="top"/>
          </w:tcPr>
          <w:p>
            <w:pPr>
              <w:spacing w:after="0"/>
            </w:pPr>
            <w:r>
              <w:rPr>
                <w:sz w:val="17"/>
              </w:rPr>
              <w:t>Lower order-contact rate, stronger repeat purchase, higher substitution acceptance, and no deterioration in on-time delivery.</w:t>
            </w:r>
          </w:p>
        </w:tc>
      </w:tr>
    </w:tbl>
    <w:p>
      <w:pPr>
        <w:spacing w:after="40"/>
      </w:pPr>
    </w:p>
    <w:p>
      <w:pPr>
        <w:pStyle w:val="Heading1"/>
      </w:pPr>
      <w:r>
        <w:t>1. Product context &amp; problem statement</w:t>
      </w:r>
    </w:p>
    <w:p>
      <w:r>
        <w:t>In a quick-commerce app, customer trust is won or lost after checkout: inventory can change, riders can be delayed, and an incomplete basket can make a fast order feel unreliable. At the same time, frequent customers want their weekly shop to be effortless. The product question is therefore not “which feature has the loudest request?” but “which sequence most improves confidence and repeat purchase while respecting operations capacity?”</w:t>
      </w:r>
    </w:p>
    <w:p>
      <w:pPr>
        <w:pStyle w:val="Heading2"/>
      </w:pPr>
      <w:r>
        <w:t>Target users</w:t>
      </w:r>
    </w:p>
    <w:p>
      <w:pPr>
        <w:pStyle w:val="ListBullet"/>
        <w:spacing w:after="80"/>
      </w:pPr>
      <w:r>
        <w:t>Busy urban customers who prioritize speed and certainty.</w:t>
      </w:r>
    </w:p>
    <w:p>
      <w:pPr>
        <w:pStyle w:val="ListBullet"/>
        <w:spacing w:after="80"/>
      </w:pPr>
      <w:r>
        <w:t>Repeat grocery buyers who want to recreate recurring baskets.</w:t>
      </w:r>
    </w:p>
    <w:p>
      <w:pPr>
        <w:pStyle w:val="ListBullet"/>
        <w:spacing w:after="80"/>
      </w:pPr>
      <w:r>
        <w:t>Apartment residents who need dependable handoff instructions.</w:t>
      </w:r>
    </w:p>
    <w:p>
      <w:pPr>
        <w:pStyle w:val="ListBullet"/>
        <w:spacing w:after="80"/>
      </w:pPr>
      <w:r>
        <w:t>Operations and support teams who need fewer avoidable contacts and clearer resolution flows.</w:t>
      </w:r>
    </w:p>
    <w:p>
      <w:pPr>
        <w:pStyle w:val="Heading2"/>
      </w:pPr>
      <w:r>
        <w:t>Product objective</w:t>
      </w:r>
    </w:p>
    <w:p>
      <w:r>
        <w:t>Improve confidence from checkout to doorstep, then reduce effort for the next purchase. The roadmap explicitly avoids expanding into growth or loyalty mechanics before the fulfillment experience is measurable and dependable.</w:t>
      </w:r>
    </w:p>
    <w:p>
      <w:pPr>
        <w:pStyle w:val="Heading1"/>
      </w:pPr>
      <w:r>
        <w:t>2. Research input &amp; assumptions</w:t>
      </w:r>
    </w:p>
    <w:p>
      <w:r>
        <w:t>The feedback dataset is synthetic but modeled on realistic app-review and support themes. It contains 18 requests from representative segments. “Reach” estimates unique customers affected in one quarter; it is not a survey sample or an external market claim. Confidence is intentionally lower for ideas with catalog, operations, modeling, or economic uncertainty.</w:t>
      </w:r>
    </w:p>
    <w:tbl>
      <w:tblPr>
        <w:tblW w:type="auto" w:w="0"/>
        <w:jc w:val="left"/>
        <w:tblLayout w:type="fixed"/>
        <w:tblLook w:firstColumn="1" w:firstRow="1" w:lastColumn="0" w:lastRow="0" w:noHBand="0" w:noVBand="1" w:val="04A0"/>
        <w:tblBorders>
          <w:top w:val="single" w:sz="4" w:color="D7DEE7"/>
          <w:left w:val="single" w:sz="4" w:color="D7DEE7"/>
          <w:bottom w:val="single" w:sz="4" w:color="D7DEE7"/>
          <w:right w:val="single" w:sz="4" w:color="D7DEE7"/>
          <w:insideH w:val="single" w:sz="4" w:color="D7DEE7"/>
          <w:insideV w:val="single" w:sz="4" w:color="D7DEE7"/>
        </w:tblBorders>
      </w:tblPr>
      <w:tblGrid>
        <w:gridCol w:w="4968"/>
        <w:gridCol w:w="4968"/>
      </w:tblGrid>
      <w:tr>
        <w:tc>
          <w:tcPr>
            <w:tcW w:type="dxa" w:w="2500"/>
            <w:tcMar>
              <w:top w:w="80" w:type="dxa"/>
              <w:start w:w="120" w:type="dxa"/>
              <w:bottom w:w="80" w:type="dxa"/>
              <w:end w:w="120" w:type="dxa"/>
            </w:tcMar>
            <w:shd w:fill="E8EEF5"/>
            <w:vAlign w:val="center"/>
          </w:tcPr>
          <w:p>
            <w:pPr>
              <w:spacing w:after="0"/>
            </w:pPr>
            <w:r>
              <w:rPr>
                <w:b/>
                <w:color w:val="0B2545"/>
                <w:sz w:val="18"/>
              </w:rPr>
              <w:t>Assumption</w:t>
            </w:r>
          </w:p>
        </w:tc>
        <w:tc>
          <w:tcPr>
            <w:tcW w:type="dxa" w:w="6860"/>
            <w:tcMar>
              <w:top w:w="80" w:type="dxa"/>
              <w:start w:w="120" w:type="dxa"/>
              <w:bottom w:w="80" w:type="dxa"/>
              <w:end w:w="120" w:type="dxa"/>
            </w:tcMar>
            <w:shd w:fill="E8EEF5"/>
            <w:vAlign w:val="center"/>
          </w:tcPr>
          <w:p>
            <w:pPr>
              <w:spacing w:after="0"/>
            </w:pPr>
            <w:r>
              <w:rPr>
                <w:b/>
                <w:color w:val="0B2545"/>
                <w:sz w:val="18"/>
              </w:rPr>
              <w:t>Definition / rationale</w:t>
            </w:r>
          </w:p>
        </w:tc>
      </w:tr>
      <w:tr>
        <w:tc>
          <w:tcPr>
            <w:tcW w:type="dxa" w:w="2500"/>
            <w:tcMar>
              <w:top w:w="80" w:type="dxa"/>
              <w:start w:w="120" w:type="dxa"/>
              <w:bottom w:w="80" w:type="dxa"/>
              <w:end w:w="120" w:type="dxa"/>
            </w:tcMar>
            <w:vAlign w:val="top"/>
          </w:tcPr>
          <w:p>
            <w:pPr>
              <w:spacing w:after="0"/>
            </w:pPr>
            <w:r>
              <w:rPr>
                <w:sz w:val="17"/>
              </w:rPr>
              <w:t>Planning capacity</w:t>
            </w:r>
          </w:p>
        </w:tc>
        <w:tc>
          <w:tcPr>
            <w:tcW w:type="dxa" w:w="6860"/>
            <w:tcMar>
              <w:top w:w="80" w:type="dxa"/>
              <w:start w:w="120" w:type="dxa"/>
              <w:bottom w:w="80" w:type="dxa"/>
              <w:end w:w="120" w:type="dxa"/>
            </w:tcMar>
            <w:vAlign w:val="top"/>
          </w:tcPr>
          <w:p>
            <w:pPr>
              <w:spacing w:after="0"/>
            </w:pPr>
            <w:r>
              <w:rPr>
                <w:sz w:val="17"/>
              </w:rPr>
              <w:t>One cross-functional squad; capacity is enough for a focused Q1 and progressive Q2 scope.</w:t>
            </w:r>
          </w:p>
        </w:tc>
      </w:tr>
      <w:tr>
        <w:tc>
          <w:tcPr>
            <w:tcW w:type="dxa" w:w="2500"/>
            <w:tcMar>
              <w:top w:w="80" w:type="dxa"/>
              <w:start w:w="120" w:type="dxa"/>
              <w:bottom w:w="80" w:type="dxa"/>
              <w:end w:w="120" w:type="dxa"/>
            </w:tcMar>
            <w:vAlign w:val="top"/>
          </w:tcPr>
          <w:p>
            <w:pPr>
              <w:spacing w:after="0"/>
            </w:pPr>
            <w:r>
              <w:rPr>
                <w:sz w:val="17"/>
              </w:rPr>
              <w:t>RICE formula</w:t>
            </w:r>
          </w:p>
        </w:tc>
        <w:tc>
          <w:tcPr>
            <w:tcW w:type="dxa" w:w="6860"/>
            <w:tcMar>
              <w:top w:w="80" w:type="dxa"/>
              <w:start w:w="120" w:type="dxa"/>
              <w:bottom w:w="80" w:type="dxa"/>
              <w:end w:w="120" w:type="dxa"/>
            </w:tcMar>
            <w:vAlign w:val="top"/>
          </w:tcPr>
          <w:p>
            <w:pPr>
              <w:spacing w:after="0"/>
            </w:pPr>
            <w:r>
              <w:rPr>
                <w:sz w:val="17"/>
              </w:rPr>
              <w:t>Reach × Impact × Confidence ÷ Effort. Impact uses 0.5 / 1 / 2 / 3 for minimal through massive impact.</w:t>
            </w:r>
          </w:p>
        </w:tc>
      </w:tr>
      <w:tr>
        <w:tc>
          <w:tcPr>
            <w:tcW w:type="dxa" w:w="2500"/>
            <w:tcMar>
              <w:top w:w="80" w:type="dxa"/>
              <w:start w:w="120" w:type="dxa"/>
              <w:bottom w:w="80" w:type="dxa"/>
              <w:end w:w="120" w:type="dxa"/>
            </w:tcMar>
            <w:vAlign w:val="top"/>
          </w:tcPr>
          <w:p>
            <w:pPr>
              <w:spacing w:after="0"/>
            </w:pPr>
            <w:r>
              <w:rPr>
                <w:sz w:val="17"/>
              </w:rPr>
              <w:t>Decision discipline</w:t>
            </w:r>
          </w:p>
        </w:tc>
        <w:tc>
          <w:tcPr>
            <w:tcW w:type="dxa" w:w="6860"/>
            <w:tcMar>
              <w:top w:w="80" w:type="dxa"/>
              <w:start w:w="120" w:type="dxa"/>
              <w:bottom w:w="80" w:type="dxa"/>
              <w:end w:w="120" w:type="dxa"/>
            </w:tcMar>
            <w:vAlign w:val="top"/>
          </w:tcPr>
          <w:p>
            <w:pPr>
              <w:spacing w:after="0"/>
            </w:pPr>
            <w:r>
              <w:rPr>
                <w:sz w:val="17"/>
              </w:rPr>
              <w:t>A high score is a prompt to investigate, not an automatic commitment. Dependencies and risk can override rank.</w:t>
            </w:r>
          </w:p>
        </w:tc>
      </w:tr>
      <w:tr>
        <w:tc>
          <w:tcPr>
            <w:tcW w:type="dxa" w:w="2500"/>
            <w:tcMar>
              <w:top w:w="80" w:type="dxa"/>
              <w:start w:w="120" w:type="dxa"/>
              <w:bottom w:w="80" w:type="dxa"/>
              <w:end w:w="120" w:type="dxa"/>
            </w:tcMar>
            <w:vAlign w:val="top"/>
          </w:tcPr>
          <w:p>
            <w:pPr>
              <w:spacing w:after="0"/>
            </w:pPr>
            <w:r>
              <w:rPr>
                <w:sz w:val="17"/>
              </w:rPr>
              <w:t>Evidence plan</w:t>
            </w:r>
          </w:p>
        </w:tc>
        <w:tc>
          <w:tcPr>
            <w:tcW w:type="dxa" w:w="6860"/>
            <w:tcMar>
              <w:top w:w="80" w:type="dxa"/>
              <w:start w:w="120" w:type="dxa"/>
              <w:bottom w:w="80" w:type="dxa"/>
              <w:end w:w="120" w:type="dxa"/>
            </w:tcMar>
            <w:vAlign w:val="top"/>
          </w:tcPr>
          <w:p>
            <w:pPr>
              <w:spacing w:after="0"/>
            </w:pPr>
            <w:r>
              <w:rPr>
                <w:sz w:val="17"/>
              </w:rPr>
              <w:t>Before commitment, validate with funnel analysis, support-contact tagging, inventory-quality checks, usability tests, and controlled experiments.</w:t>
            </w:r>
          </w:p>
        </w:tc>
      </w:tr>
    </w:tbl>
    <w:p>
      <w:pPr>
        <w:spacing w:after="40"/>
      </w:pPr>
    </w:p>
    <w:p>
      <w:pPr>
        <w:pStyle w:val="Heading1"/>
      </w:pPr>
      <w:r>
        <w:t>3. Prioritization approach</w:t>
      </w:r>
    </w:p>
    <w:p>
      <w:pPr>
        <w:pStyle w:val="Heading2"/>
      </w:pPr>
      <w:r>
        <w:t>RICE: quantitative comparison</w:t>
      </w:r>
    </w:p>
    <w:p>
      <w:r>
        <w:t>RICE creates a common language for comparing different request types. The model favors high-frequency, high-impact core-order improvements, while still making lower-confidence bets visible. The companion workbook contains editable formulas and all 18 feature records.</w:t>
      </w:r>
    </w:p>
    <w:tbl>
      <w:tblPr>
        <w:tblW w:type="auto" w:w="0"/>
        <w:jc w:val="left"/>
        <w:tblLayout w:type="fixed"/>
        <w:tblLook w:firstColumn="1" w:firstRow="1" w:lastColumn="0" w:lastRow="0" w:noHBand="0" w:noVBand="1" w:val="04A0"/>
        <w:tblBorders>
          <w:top w:val="single" w:sz="4" w:color="D7DEE7"/>
          <w:left w:val="single" w:sz="4" w:color="D7DEE7"/>
          <w:bottom w:val="single" w:sz="4" w:color="D7DEE7"/>
          <w:right w:val="single" w:sz="4" w:color="D7DEE7"/>
          <w:insideH w:val="single" w:sz="4" w:color="D7DEE7"/>
          <w:insideV w:val="single" w:sz="4" w:color="D7DEE7"/>
        </w:tblBorders>
      </w:tblPr>
      <w:tblGrid>
        <w:gridCol w:w="1242"/>
        <w:gridCol w:w="1242"/>
        <w:gridCol w:w="1242"/>
        <w:gridCol w:w="1242"/>
        <w:gridCol w:w="1242"/>
        <w:gridCol w:w="1242"/>
        <w:gridCol w:w="1242"/>
        <w:gridCol w:w="1242"/>
      </w:tblGrid>
      <w:tr>
        <w:tc>
          <w:tcPr>
            <w:tcW w:type="dxa" w:w="500"/>
            <w:tcMar>
              <w:top w:w="80" w:type="dxa"/>
              <w:start w:w="120" w:type="dxa"/>
              <w:bottom w:w="80" w:type="dxa"/>
              <w:end w:w="120" w:type="dxa"/>
            </w:tcMar>
            <w:shd w:fill="E8EEF5"/>
            <w:vAlign w:val="center"/>
          </w:tcPr>
          <w:p>
            <w:pPr>
              <w:spacing w:after="0"/>
            </w:pPr>
            <w:r>
              <w:rPr>
                <w:b/>
                <w:color w:val="0B2545"/>
                <w:sz w:val="18"/>
              </w:rPr>
              <w:t>Rank</w:t>
            </w:r>
          </w:p>
        </w:tc>
        <w:tc>
          <w:tcPr>
            <w:tcW w:type="dxa" w:w="2300"/>
            <w:tcMar>
              <w:top w:w="80" w:type="dxa"/>
              <w:start w:w="120" w:type="dxa"/>
              <w:bottom w:w="80" w:type="dxa"/>
              <w:end w:w="120" w:type="dxa"/>
            </w:tcMar>
            <w:shd w:fill="E8EEF5"/>
            <w:vAlign w:val="center"/>
          </w:tcPr>
          <w:p>
            <w:pPr>
              <w:spacing w:after="0"/>
            </w:pPr>
            <w:r>
              <w:rPr>
                <w:b/>
                <w:color w:val="0B2545"/>
                <w:sz w:val="18"/>
              </w:rPr>
              <w:t>Feature</w:t>
            </w:r>
          </w:p>
        </w:tc>
        <w:tc>
          <w:tcPr>
            <w:tcW w:type="dxa" w:w="850"/>
            <w:tcMar>
              <w:top w:w="80" w:type="dxa"/>
              <w:start w:w="120" w:type="dxa"/>
              <w:bottom w:w="80" w:type="dxa"/>
              <w:end w:w="120" w:type="dxa"/>
            </w:tcMar>
            <w:shd w:fill="E8EEF5"/>
            <w:vAlign w:val="center"/>
          </w:tcPr>
          <w:p>
            <w:pPr>
              <w:spacing w:after="0"/>
            </w:pPr>
            <w:r>
              <w:rPr>
                <w:b/>
                <w:color w:val="0B2545"/>
                <w:sz w:val="18"/>
              </w:rPr>
              <w:t>Reach / qtr</w:t>
            </w:r>
          </w:p>
        </w:tc>
        <w:tc>
          <w:tcPr>
            <w:tcW w:type="dxa" w:w="600"/>
            <w:tcMar>
              <w:top w:w="80" w:type="dxa"/>
              <w:start w:w="120" w:type="dxa"/>
              <w:bottom w:w="80" w:type="dxa"/>
              <w:end w:w="120" w:type="dxa"/>
            </w:tcMar>
            <w:shd w:fill="E8EEF5"/>
            <w:vAlign w:val="center"/>
          </w:tcPr>
          <w:p>
            <w:pPr>
              <w:spacing w:after="0"/>
            </w:pPr>
            <w:r>
              <w:rPr>
                <w:b/>
                <w:color w:val="0B2545"/>
                <w:sz w:val="18"/>
              </w:rPr>
              <w:t>Impact</w:t>
            </w:r>
          </w:p>
        </w:tc>
        <w:tc>
          <w:tcPr>
            <w:tcW w:type="dxa" w:w="750"/>
            <w:tcMar>
              <w:top w:w="80" w:type="dxa"/>
              <w:start w:w="120" w:type="dxa"/>
              <w:bottom w:w="80" w:type="dxa"/>
              <w:end w:w="120" w:type="dxa"/>
            </w:tcMar>
            <w:shd w:fill="E8EEF5"/>
            <w:vAlign w:val="center"/>
          </w:tcPr>
          <w:p>
            <w:pPr>
              <w:spacing w:after="0"/>
            </w:pPr>
            <w:r>
              <w:rPr>
                <w:b/>
                <w:color w:val="0B2545"/>
                <w:sz w:val="18"/>
              </w:rPr>
              <w:t>Confidence</w:t>
            </w:r>
          </w:p>
        </w:tc>
        <w:tc>
          <w:tcPr>
            <w:tcW w:type="dxa" w:w="550"/>
            <w:tcMar>
              <w:top w:w="80" w:type="dxa"/>
              <w:start w:w="120" w:type="dxa"/>
              <w:bottom w:w="80" w:type="dxa"/>
              <w:end w:w="120" w:type="dxa"/>
            </w:tcMar>
            <w:shd w:fill="E8EEF5"/>
            <w:vAlign w:val="center"/>
          </w:tcPr>
          <w:p>
            <w:pPr>
              <w:spacing w:after="0"/>
            </w:pPr>
            <w:r>
              <w:rPr>
                <w:b/>
                <w:color w:val="0B2545"/>
                <w:sz w:val="18"/>
              </w:rPr>
              <w:t>Effort</w:t>
            </w:r>
          </w:p>
        </w:tc>
        <w:tc>
          <w:tcPr>
            <w:tcW w:type="dxa" w:w="850"/>
            <w:tcMar>
              <w:top w:w="80" w:type="dxa"/>
              <w:start w:w="120" w:type="dxa"/>
              <w:bottom w:w="80" w:type="dxa"/>
              <w:end w:w="120" w:type="dxa"/>
            </w:tcMar>
            <w:shd w:fill="E8EEF5"/>
            <w:vAlign w:val="center"/>
          </w:tcPr>
          <w:p>
            <w:pPr>
              <w:spacing w:after="0"/>
            </w:pPr>
            <w:r>
              <w:rPr>
                <w:b/>
                <w:color w:val="0B2545"/>
                <w:sz w:val="18"/>
              </w:rPr>
              <w:t>RICE</w:t>
            </w:r>
          </w:p>
        </w:tc>
        <w:tc>
          <w:tcPr>
            <w:tcW w:type="dxa" w:w="2460"/>
            <w:tcMar>
              <w:top w:w="80" w:type="dxa"/>
              <w:start w:w="120" w:type="dxa"/>
              <w:bottom w:w="80" w:type="dxa"/>
              <w:end w:w="120" w:type="dxa"/>
            </w:tcMar>
            <w:shd w:fill="E8EEF5"/>
            <w:vAlign w:val="center"/>
          </w:tcPr>
          <w:p>
            <w:pPr>
              <w:spacing w:after="0"/>
            </w:pPr>
            <w:r>
              <w:rPr>
                <w:b/>
                <w:color w:val="0B2545"/>
                <w:sz w:val="18"/>
              </w:rPr>
              <w:t>Call</w:t>
            </w:r>
          </w:p>
        </w:tc>
      </w:tr>
      <w:tr>
        <w:tc>
          <w:tcPr>
            <w:tcW w:type="dxa" w:w="500"/>
            <w:tcMar>
              <w:top w:w="80" w:type="dxa"/>
              <w:start w:w="120" w:type="dxa"/>
              <w:bottom w:w="80" w:type="dxa"/>
              <w:end w:w="120" w:type="dxa"/>
            </w:tcMar>
            <w:vAlign w:val="top"/>
          </w:tcPr>
          <w:p>
            <w:pPr>
              <w:spacing w:after="0"/>
            </w:pPr>
            <w:r>
              <w:rPr>
                <w:sz w:val="17"/>
              </w:rPr>
              <w:t>1</w:t>
            </w:r>
          </w:p>
        </w:tc>
        <w:tc>
          <w:tcPr>
            <w:tcW w:type="dxa" w:w="2300"/>
            <w:tcMar>
              <w:top w:w="80" w:type="dxa"/>
              <w:start w:w="120" w:type="dxa"/>
              <w:bottom w:w="80" w:type="dxa"/>
              <w:end w:w="120" w:type="dxa"/>
            </w:tcMar>
            <w:vAlign w:val="top"/>
          </w:tcPr>
          <w:p>
            <w:pPr>
              <w:spacing w:after="0"/>
            </w:pPr>
            <w:r>
              <w:rPr>
                <w:sz w:val="17"/>
              </w:rPr>
              <w:t>Live order tracking</w:t>
            </w:r>
          </w:p>
        </w:tc>
        <w:tc>
          <w:tcPr>
            <w:tcW w:type="dxa" w:w="850"/>
            <w:tcMar>
              <w:top w:w="80" w:type="dxa"/>
              <w:start w:w="120" w:type="dxa"/>
              <w:bottom w:w="80" w:type="dxa"/>
              <w:end w:w="120" w:type="dxa"/>
            </w:tcMar>
            <w:vAlign w:val="top"/>
          </w:tcPr>
          <w:p>
            <w:pPr>
              <w:spacing w:after="0"/>
            </w:pPr>
            <w:r>
              <w:rPr>
                <w:sz w:val="17"/>
              </w:rPr>
              <w:t>300,000</w:t>
            </w:r>
          </w:p>
        </w:tc>
        <w:tc>
          <w:tcPr>
            <w:tcW w:type="dxa" w:w="600"/>
            <w:tcMar>
              <w:top w:w="80" w:type="dxa"/>
              <w:start w:w="120" w:type="dxa"/>
              <w:bottom w:w="80" w:type="dxa"/>
              <w:end w:w="120" w:type="dxa"/>
            </w:tcMar>
            <w:vAlign w:val="top"/>
          </w:tcPr>
          <w:p>
            <w:pPr>
              <w:spacing w:after="0"/>
            </w:pPr>
            <w:r>
              <w:rPr>
                <w:sz w:val="17"/>
              </w:rPr>
              <w:t>2.5</w:t>
            </w:r>
          </w:p>
        </w:tc>
        <w:tc>
          <w:tcPr>
            <w:tcW w:type="dxa" w:w="750"/>
            <w:tcMar>
              <w:top w:w="80" w:type="dxa"/>
              <w:start w:w="120" w:type="dxa"/>
              <w:bottom w:w="80" w:type="dxa"/>
              <w:end w:w="120" w:type="dxa"/>
            </w:tcMar>
            <w:vAlign w:val="top"/>
          </w:tcPr>
          <w:p>
            <w:pPr>
              <w:spacing w:after="0"/>
            </w:pPr>
            <w:r>
              <w:rPr>
                <w:sz w:val="17"/>
              </w:rPr>
              <w:t>90%</w:t>
            </w:r>
          </w:p>
        </w:tc>
        <w:tc>
          <w:tcPr>
            <w:tcW w:type="dxa" w:w="550"/>
            <w:tcMar>
              <w:top w:w="80" w:type="dxa"/>
              <w:start w:w="120" w:type="dxa"/>
              <w:bottom w:w="80" w:type="dxa"/>
              <w:end w:w="120" w:type="dxa"/>
            </w:tcMar>
            <w:vAlign w:val="top"/>
          </w:tcPr>
          <w:p>
            <w:pPr>
              <w:spacing w:after="0"/>
            </w:pPr>
            <w:r>
              <w:rPr>
                <w:sz w:val="17"/>
              </w:rPr>
              <w:t>2</w:t>
            </w:r>
          </w:p>
        </w:tc>
        <w:tc>
          <w:tcPr>
            <w:tcW w:type="dxa" w:w="850"/>
            <w:tcMar>
              <w:top w:w="80" w:type="dxa"/>
              <w:start w:w="120" w:type="dxa"/>
              <w:bottom w:w="80" w:type="dxa"/>
              <w:end w:w="120" w:type="dxa"/>
            </w:tcMar>
            <w:vAlign w:val="top"/>
          </w:tcPr>
          <w:p>
            <w:pPr>
              <w:spacing w:after="0"/>
            </w:pPr>
            <w:r>
              <w:rPr>
                <w:sz w:val="17"/>
              </w:rPr>
              <w:t>337,500</w:t>
            </w:r>
          </w:p>
        </w:tc>
        <w:tc>
          <w:tcPr>
            <w:tcW w:type="dxa" w:w="2460"/>
            <w:tcMar>
              <w:top w:w="80" w:type="dxa"/>
              <w:start w:w="120" w:type="dxa"/>
              <w:bottom w:w="80" w:type="dxa"/>
              <w:end w:w="120" w:type="dxa"/>
            </w:tcMar>
            <w:vAlign w:val="top"/>
          </w:tcPr>
          <w:p>
            <w:pPr>
              <w:spacing w:after="0"/>
            </w:pPr>
            <w:r>
              <w:rPr>
                <w:sz w:val="17"/>
              </w:rPr>
              <w:t>Q1 Must</w:t>
            </w:r>
          </w:p>
        </w:tc>
      </w:tr>
      <w:tr>
        <w:tc>
          <w:tcPr>
            <w:tcW w:type="dxa" w:w="500"/>
            <w:tcMar>
              <w:top w:w="80" w:type="dxa"/>
              <w:start w:w="120" w:type="dxa"/>
              <w:bottom w:w="80" w:type="dxa"/>
              <w:end w:w="120" w:type="dxa"/>
            </w:tcMar>
            <w:vAlign w:val="top"/>
          </w:tcPr>
          <w:p>
            <w:pPr>
              <w:spacing w:after="0"/>
            </w:pPr>
            <w:r>
              <w:rPr>
                <w:sz w:val="17"/>
              </w:rPr>
              <w:t>2</w:t>
            </w:r>
          </w:p>
        </w:tc>
        <w:tc>
          <w:tcPr>
            <w:tcW w:type="dxa" w:w="2300"/>
            <w:tcMar>
              <w:top w:w="80" w:type="dxa"/>
              <w:start w:w="120" w:type="dxa"/>
              <w:bottom w:w="80" w:type="dxa"/>
              <w:end w:w="120" w:type="dxa"/>
            </w:tcMar>
            <w:vAlign w:val="top"/>
          </w:tcPr>
          <w:p>
            <w:pPr>
              <w:spacing w:after="0"/>
            </w:pPr>
            <w:r>
              <w:rPr>
                <w:sz w:val="17"/>
              </w:rPr>
              <w:t>Substitution preferences</w:t>
            </w:r>
          </w:p>
        </w:tc>
        <w:tc>
          <w:tcPr>
            <w:tcW w:type="dxa" w:w="850"/>
            <w:tcMar>
              <w:top w:w="80" w:type="dxa"/>
              <w:start w:w="120" w:type="dxa"/>
              <w:bottom w:w="80" w:type="dxa"/>
              <w:end w:w="120" w:type="dxa"/>
            </w:tcMar>
            <w:vAlign w:val="top"/>
          </w:tcPr>
          <w:p>
            <w:pPr>
              <w:spacing w:after="0"/>
            </w:pPr>
            <w:r>
              <w:rPr>
                <w:sz w:val="17"/>
              </w:rPr>
              <w:t>250,000</w:t>
            </w:r>
          </w:p>
        </w:tc>
        <w:tc>
          <w:tcPr>
            <w:tcW w:type="dxa" w:w="600"/>
            <w:tcMar>
              <w:top w:w="80" w:type="dxa"/>
              <w:start w:w="120" w:type="dxa"/>
              <w:bottom w:w="80" w:type="dxa"/>
              <w:end w:w="120" w:type="dxa"/>
            </w:tcMar>
            <w:vAlign w:val="top"/>
          </w:tcPr>
          <w:p>
            <w:pPr>
              <w:spacing w:after="0"/>
            </w:pPr>
            <w:r>
              <w:rPr>
                <w:sz w:val="17"/>
              </w:rPr>
              <w:t>3.0</w:t>
            </w:r>
          </w:p>
        </w:tc>
        <w:tc>
          <w:tcPr>
            <w:tcW w:type="dxa" w:w="750"/>
            <w:tcMar>
              <w:top w:w="80" w:type="dxa"/>
              <w:start w:w="120" w:type="dxa"/>
              <w:bottom w:w="80" w:type="dxa"/>
              <w:end w:w="120" w:type="dxa"/>
            </w:tcMar>
            <w:vAlign w:val="top"/>
          </w:tcPr>
          <w:p>
            <w:pPr>
              <w:spacing w:after="0"/>
            </w:pPr>
            <w:r>
              <w:rPr>
                <w:sz w:val="17"/>
              </w:rPr>
              <w:t>85%</w:t>
            </w:r>
          </w:p>
        </w:tc>
        <w:tc>
          <w:tcPr>
            <w:tcW w:type="dxa" w:w="550"/>
            <w:tcMar>
              <w:top w:w="80" w:type="dxa"/>
              <w:start w:w="120" w:type="dxa"/>
              <w:bottom w:w="80" w:type="dxa"/>
              <w:end w:w="120" w:type="dxa"/>
            </w:tcMar>
            <w:vAlign w:val="top"/>
          </w:tcPr>
          <w:p>
            <w:pPr>
              <w:spacing w:after="0"/>
            </w:pPr>
            <w:r>
              <w:rPr>
                <w:sz w:val="17"/>
              </w:rPr>
              <w:t>2</w:t>
            </w:r>
          </w:p>
        </w:tc>
        <w:tc>
          <w:tcPr>
            <w:tcW w:type="dxa" w:w="850"/>
            <w:tcMar>
              <w:top w:w="80" w:type="dxa"/>
              <w:start w:w="120" w:type="dxa"/>
              <w:bottom w:w="80" w:type="dxa"/>
              <w:end w:w="120" w:type="dxa"/>
            </w:tcMar>
            <w:vAlign w:val="top"/>
          </w:tcPr>
          <w:p>
            <w:pPr>
              <w:spacing w:after="0"/>
            </w:pPr>
            <w:r>
              <w:rPr>
                <w:sz w:val="17"/>
              </w:rPr>
              <w:t>318,750</w:t>
            </w:r>
          </w:p>
        </w:tc>
        <w:tc>
          <w:tcPr>
            <w:tcW w:type="dxa" w:w="2460"/>
            <w:tcMar>
              <w:top w:w="80" w:type="dxa"/>
              <w:start w:w="120" w:type="dxa"/>
              <w:bottom w:w="80" w:type="dxa"/>
              <w:end w:w="120" w:type="dxa"/>
            </w:tcMar>
            <w:vAlign w:val="top"/>
          </w:tcPr>
          <w:p>
            <w:pPr>
              <w:spacing w:after="0"/>
            </w:pPr>
            <w:r>
              <w:rPr>
                <w:sz w:val="17"/>
              </w:rPr>
              <w:t>Q1 Must</w:t>
            </w:r>
          </w:p>
        </w:tc>
      </w:tr>
      <w:tr>
        <w:tc>
          <w:tcPr>
            <w:tcW w:type="dxa" w:w="500"/>
            <w:tcMar>
              <w:top w:w="80" w:type="dxa"/>
              <w:start w:w="120" w:type="dxa"/>
              <w:bottom w:w="80" w:type="dxa"/>
              <w:end w:w="120" w:type="dxa"/>
            </w:tcMar>
            <w:vAlign w:val="top"/>
          </w:tcPr>
          <w:p>
            <w:pPr>
              <w:spacing w:after="0"/>
            </w:pPr>
            <w:r>
              <w:rPr>
                <w:sz w:val="17"/>
              </w:rPr>
              <w:t>3</w:t>
            </w:r>
          </w:p>
        </w:tc>
        <w:tc>
          <w:tcPr>
            <w:tcW w:type="dxa" w:w="2300"/>
            <w:tcMar>
              <w:top w:w="80" w:type="dxa"/>
              <w:start w:w="120" w:type="dxa"/>
              <w:bottom w:w="80" w:type="dxa"/>
              <w:end w:w="120" w:type="dxa"/>
            </w:tcMar>
            <w:vAlign w:val="top"/>
          </w:tcPr>
          <w:p>
            <w:pPr>
              <w:spacing w:after="0"/>
            </w:pPr>
            <w:r>
              <w:rPr>
                <w:sz w:val="17"/>
              </w:rPr>
              <w:t>One-tap reorder</w:t>
            </w:r>
          </w:p>
        </w:tc>
        <w:tc>
          <w:tcPr>
            <w:tcW w:type="dxa" w:w="850"/>
            <w:tcMar>
              <w:top w:w="80" w:type="dxa"/>
              <w:start w:w="120" w:type="dxa"/>
              <w:bottom w:w="80" w:type="dxa"/>
              <w:end w:w="120" w:type="dxa"/>
            </w:tcMar>
            <w:vAlign w:val="top"/>
          </w:tcPr>
          <w:p>
            <w:pPr>
              <w:spacing w:after="0"/>
            </w:pPr>
            <w:r>
              <w:rPr>
                <w:sz w:val="17"/>
              </w:rPr>
              <w:t>260,000</w:t>
            </w:r>
          </w:p>
        </w:tc>
        <w:tc>
          <w:tcPr>
            <w:tcW w:type="dxa" w:w="600"/>
            <w:tcMar>
              <w:top w:w="80" w:type="dxa"/>
              <w:start w:w="120" w:type="dxa"/>
              <w:bottom w:w="80" w:type="dxa"/>
              <w:end w:w="120" w:type="dxa"/>
            </w:tcMar>
            <w:vAlign w:val="top"/>
          </w:tcPr>
          <w:p>
            <w:pPr>
              <w:spacing w:after="0"/>
            </w:pPr>
            <w:r>
              <w:rPr>
                <w:sz w:val="17"/>
              </w:rPr>
              <w:t>2.5</w:t>
            </w:r>
          </w:p>
        </w:tc>
        <w:tc>
          <w:tcPr>
            <w:tcW w:type="dxa" w:w="750"/>
            <w:tcMar>
              <w:top w:w="80" w:type="dxa"/>
              <w:start w:w="120" w:type="dxa"/>
              <w:bottom w:w="80" w:type="dxa"/>
              <w:end w:w="120" w:type="dxa"/>
            </w:tcMar>
            <w:vAlign w:val="top"/>
          </w:tcPr>
          <w:p>
            <w:pPr>
              <w:spacing w:after="0"/>
            </w:pPr>
            <w:r>
              <w:rPr>
                <w:sz w:val="17"/>
              </w:rPr>
              <w:t>85%</w:t>
            </w:r>
          </w:p>
        </w:tc>
        <w:tc>
          <w:tcPr>
            <w:tcW w:type="dxa" w:w="550"/>
            <w:tcMar>
              <w:top w:w="80" w:type="dxa"/>
              <w:start w:w="120" w:type="dxa"/>
              <w:bottom w:w="80" w:type="dxa"/>
              <w:end w:w="120" w:type="dxa"/>
            </w:tcMar>
            <w:vAlign w:val="top"/>
          </w:tcPr>
          <w:p>
            <w:pPr>
              <w:spacing w:after="0"/>
            </w:pPr>
            <w:r>
              <w:rPr>
                <w:sz w:val="17"/>
              </w:rPr>
              <w:t>2</w:t>
            </w:r>
          </w:p>
        </w:tc>
        <w:tc>
          <w:tcPr>
            <w:tcW w:type="dxa" w:w="850"/>
            <w:tcMar>
              <w:top w:w="80" w:type="dxa"/>
              <w:start w:w="120" w:type="dxa"/>
              <w:bottom w:w="80" w:type="dxa"/>
              <w:end w:w="120" w:type="dxa"/>
            </w:tcMar>
            <w:vAlign w:val="top"/>
          </w:tcPr>
          <w:p>
            <w:pPr>
              <w:spacing w:after="0"/>
            </w:pPr>
            <w:r>
              <w:rPr>
                <w:sz w:val="17"/>
              </w:rPr>
              <w:t>276,250</w:t>
            </w:r>
          </w:p>
        </w:tc>
        <w:tc>
          <w:tcPr>
            <w:tcW w:type="dxa" w:w="2460"/>
            <w:tcMar>
              <w:top w:w="80" w:type="dxa"/>
              <w:start w:w="120" w:type="dxa"/>
              <w:bottom w:w="80" w:type="dxa"/>
              <w:end w:w="120" w:type="dxa"/>
            </w:tcMar>
            <w:vAlign w:val="top"/>
          </w:tcPr>
          <w:p>
            <w:pPr>
              <w:spacing w:after="0"/>
            </w:pPr>
            <w:r>
              <w:rPr>
                <w:sz w:val="17"/>
              </w:rPr>
              <w:t>Q1 Must</w:t>
            </w:r>
          </w:p>
        </w:tc>
      </w:tr>
      <w:tr>
        <w:tc>
          <w:tcPr>
            <w:tcW w:type="dxa" w:w="500"/>
            <w:tcMar>
              <w:top w:w="80" w:type="dxa"/>
              <w:start w:w="120" w:type="dxa"/>
              <w:bottom w:w="80" w:type="dxa"/>
              <w:end w:w="120" w:type="dxa"/>
            </w:tcMar>
            <w:vAlign w:val="top"/>
          </w:tcPr>
          <w:p>
            <w:pPr>
              <w:spacing w:after="0"/>
            </w:pPr>
            <w:r>
              <w:rPr>
                <w:sz w:val="17"/>
              </w:rPr>
              <w:t>4</w:t>
            </w:r>
          </w:p>
        </w:tc>
        <w:tc>
          <w:tcPr>
            <w:tcW w:type="dxa" w:w="2300"/>
            <w:tcMar>
              <w:top w:w="80" w:type="dxa"/>
              <w:start w:w="120" w:type="dxa"/>
              <w:bottom w:w="80" w:type="dxa"/>
              <w:end w:w="120" w:type="dxa"/>
            </w:tcMar>
            <w:vAlign w:val="top"/>
          </w:tcPr>
          <w:p>
            <w:pPr>
              <w:spacing w:after="0"/>
            </w:pPr>
            <w:r>
              <w:rPr>
                <w:sz w:val="17"/>
              </w:rPr>
              <w:t>Saved shopping lists</w:t>
            </w:r>
          </w:p>
        </w:tc>
        <w:tc>
          <w:tcPr>
            <w:tcW w:type="dxa" w:w="850"/>
            <w:tcMar>
              <w:top w:w="80" w:type="dxa"/>
              <w:start w:w="120" w:type="dxa"/>
              <w:bottom w:w="80" w:type="dxa"/>
              <w:end w:w="120" w:type="dxa"/>
            </w:tcMar>
            <w:vAlign w:val="top"/>
          </w:tcPr>
          <w:p>
            <w:pPr>
              <w:spacing w:after="0"/>
            </w:pPr>
            <w:r>
              <w:rPr>
                <w:sz w:val="17"/>
              </w:rPr>
              <w:t>180,000</w:t>
            </w:r>
          </w:p>
        </w:tc>
        <w:tc>
          <w:tcPr>
            <w:tcW w:type="dxa" w:w="600"/>
            <w:tcMar>
              <w:top w:w="80" w:type="dxa"/>
              <w:start w:w="120" w:type="dxa"/>
              <w:bottom w:w="80" w:type="dxa"/>
              <w:end w:w="120" w:type="dxa"/>
            </w:tcMar>
            <w:vAlign w:val="top"/>
          </w:tcPr>
          <w:p>
            <w:pPr>
              <w:spacing w:after="0"/>
            </w:pPr>
            <w:r>
              <w:rPr>
                <w:sz w:val="17"/>
              </w:rPr>
              <w:t>2.0</w:t>
            </w:r>
          </w:p>
        </w:tc>
        <w:tc>
          <w:tcPr>
            <w:tcW w:type="dxa" w:w="750"/>
            <w:tcMar>
              <w:top w:w="80" w:type="dxa"/>
              <w:start w:w="120" w:type="dxa"/>
              <w:bottom w:w="80" w:type="dxa"/>
              <w:end w:w="120" w:type="dxa"/>
            </w:tcMar>
            <w:vAlign w:val="top"/>
          </w:tcPr>
          <w:p>
            <w:pPr>
              <w:spacing w:after="0"/>
            </w:pPr>
            <w:r>
              <w:rPr>
                <w:sz w:val="17"/>
              </w:rPr>
              <w:t>80%</w:t>
            </w:r>
          </w:p>
        </w:tc>
        <w:tc>
          <w:tcPr>
            <w:tcW w:type="dxa" w:w="550"/>
            <w:tcMar>
              <w:top w:w="80" w:type="dxa"/>
              <w:start w:w="120" w:type="dxa"/>
              <w:bottom w:w="80" w:type="dxa"/>
              <w:end w:w="120" w:type="dxa"/>
            </w:tcMar>
            <w:vAlign w:val="top"/>
          </w:tcPr>
          <w:p>
            <w:pPr>
              <w:spacing w:after="0"/>
            </w:pPr>
            <w:r>
              <w:rPr>
                <w:sz w:val="17"/>
              </w:rPr>
              <w:t>2</w:t>
            </w:r>
          </w:p>
        </w:tc>
        <w:tc>
          <w:tcPr>
            <w:tcW w:type="dxa" w:w="850"/>
            <w:tcMar>
              <w:top w:w="80" w:type="dxa"/>
              <w:start w:w="120" w:type="dxa"/>
              <w:bottom w:w="80" w:type="dxa"/>
              <w:end w:w="120" w:type="dxa"/>
            </w:tcMar>
            <w:vAlign w:val="top"/>
          </w:tcPr>
          <w:p>
            <w:pPr>
              <w:spacing w:after="0"/>
            </w:pPr>
            <w:r>
              <w:rPr>
                <w:sz w:val="17"/>
              </w:rPr>
              <w:t>144,000</w:t>
            </w:r>
          </w:p>
        </w:tc>
        <w:tc>
          <w:tcPr>
            <w:tcW w:type="dxa" w:w="2460"/>
            <w:tcMar>
              <w:top w:w="80" w:type="dxa"/>
              <w:start w:w="120" w:type="dxa"/>
              <w:bottom w:w="80" w:type="dxa"/>
              <w:end w:w="120" w:type="dxa"/>
            </w:tcMar>
            <w:vAlign w:val="top"/>
          </w:tcPr>
          <w:p>
            <w:pPr>
              <w:spacing w:after="0"/>
            </w:pPr>
            <w:r>
              <w:rPr>
                <w:sz w:val="17"/>
              </w:rPr>
              <w:t>Q2 Should</w:t>
            </w:r>
          </w:p>
        </w:tc>
      </w:tr>
      <w:tr>
        <w:tc>
          <w:tcPr>
            <w:tcW w:type="dxa" w:w="500"/>
            <w:tcMar>
              <w:top w:w="80" w:type="dxa"/>
              <w:start w:w="120" w:type="dxa"/>
              <w:bottom w:w="80" w:type="dxa"/>
              <w:end w:w="120" w:type="dxa"/>
            </w:tcMar>
            <w:vAlign w:val="top"/>
          </w:tcPr>
          <w:p>
            <w:pPr>
              <w:spacing w:after="0"/>
            </w:pPr>
            <w:r>
              <w:rPr>
                <w:sz w:val="17"/>
              </w:rPr>
              <w:t>5</w:t>
            </w:r>
          </w:p>
        </w:tc>
        <w:tc>
          <w:tcPr>
            <w:tcW w:type="dxa" w:w="2300"/>
            <w:tcMar>
              <w:top w:w="80" w:type="dxa"/>
              <w:start w:w="120" w:type="dxa"/>
              <w:bottom w:w="80" w:type="dxa"/>
              <w:end w:w="120" w:type="dxa"/>
            </w:tcMar>
            <w:vAlign w:val="top"/>
          </w:tcPr>
          <w:p>
            <w:pPr>
              <w:spacing w:after="0"/>
            </w:pPr>
            <w:r>
              <w:rPr>
                <w:sz w:val="17"/>
              </w:rPr>
              <w:t>Real-time availability badges</w:t>
            </w:r>
          </w:p>
        </w:tc>
        <w:tc>
          <w:tcPr>
            <w:tcW w:type="dxa" w:w="850"/>
            <w:tcMar>
              <w:top w:w="80" w:type="dxa"/>
              <w:start w:w="120" w:type="dxa"/>
              <w:bottom w:w="80" w:type="dxa"/>
              <w:end w:w="120" w:type="dxa"/>
            </w:tcMar>
            <w:vAlign w:val="top"/>
          </w:tcPr>
          <w:p>
            <w:pPr>
              <w:spacing w:after="0"/>
            </w:pPr>
            <w:r>
              <w:rPr>
                <w:sz w:val="17"/>
              </w:rPr>
              <w:t>220,000</w:t>
            </w:r>
          </w:p>
        </w:tc>
        <w:tc>
          <w:tcPr>
            <w:tcW w:type="dxa" w:w="600"/>
            <w:tcMar>
              <w:top w:w="80" w:type="dxa"/>
              <w:start w:w="120" w:type="dxa"/>
              <w:bottom w:w="80" w:type="dxa"/>
              <w:end w:w="120" w:type="dxa"/>
            </w:tcMar>
            <w:vAlign w:val="top"/>
          </w:tcPr>
          <w:p>
            <w:pPr>
              <w:spacing w:after="0"/>
            </w:pPr>
            <w:r>
              <w:rPr>
                <w:sz w:val="17"/>
              </w:rPr>
              <w:t>2.0</w:t>
            </w:r>
          </w:p>
        </w:tc>
        <w:tc>
          <w:tcPr>
            <w:tcW w:type="dxa" w:w="750"/>
            <w:tcMar>
              <w:top w:w="80" w:type="dxa"/>
              <w:start w:w="120" w:type="dxa"/>
              <w:bottom w:w="80" w:type="dxa"/>
              <w:end w:w="120" w:type="dxa"/>
            </w:tcMar>
            <w:vAlign w:val="top"/>
          </w:tcPr>
          <w:p>
            <w:pPr>
              <w:spacing w:after="0"/>
            </w:pPr>
            <w:r>
              <w:rPr>
                <w:sz w:val="17"/>
              </w:rPr>
              <w:t>80%</w:t>
            </w:r>
          </w:p>
        </w:tc>
        <w:tc>
          <w:tcPr>
            <w:tcW w:type="dxa" w:w="550"/>
            <w:tcMar>
              <w:top w:w="80" w:type="dxa"/>
              <w:start w:w="120" w:type="dxa"/>
              <w:bottom w:w="80" w:type="dxa"/>
              <w:end w:w="120" w:type="dxa"/>
            </w:tcMar>
            <w:vAlign w:val="top"/>
          </w:tcPr>
          <w:p>
            <w:pPr>
              <w:spacing w:after="0"/>
            </w:pPr>
            <w:r>
              <w:rPr>
                <w:sz w:val="17"/>
              </w:rPr>
              <w:t>3</w:t>
            </w:r>
          </w:p>
        </w:tc>
        <w:tc>
          <w:tcPr>
            <w:tcW w:type="dxa" w:w="850"/>
            <w:tcMar>
              <w:top w:w="80" w:type="dxa"/>
              <w:start w:w="120" w:type="dxa"/>
              <w:bottom w:w="80" w:type="dxa"/>
              <w:end w:w="120" w:type="dxa"/>
            </w:tcMar>
            <w:vAlign w:val="top"/>
          </w:tcPr>
          <w:p>
            <w:pPr>
              <w:spacing w:after="0"/>
            </w:pPr>
            <w:r>
              <w:rPr>
                <w:sz w:val="17"/>
              </w:rPr>
              <w:t>117,333</w:t>
            </w:r>
          </w:p>
        </w:tc>
        <w:tc>
          <w:tcPr>
            <w:tcW w:type="dxa" w:w="2460"/>
            <w:tcMar>
              <w:top w:w="80" w:type="dxa"/>
              <w:start w:w="120" w:type="dxa"/>
              <w:bottom w:w="80" w:type="dxa"/>
              <w:end w:w="120" w:type="dxa"/>
            </w:tcMar>
            <w:vAlign w:val="top"/>
          </w:tcPr>
          <w:p>
            <w:pPr>
              <w:spacing w:after="0"/>
            </w:pPr>
            <w:r>
              <w:rPr>
                <w:sz w:val="17"/>
              </w:rPr>
              <w:t>Q1 Must</w:t>
            </w:r>
          </w:p>
        </w:tc>
      </w:tr>
      <w:tr>
        <w:tc>
          <w:tcPr>
            <w:tcW w:type="dxa" w:w="500"/>
            <w:tcMar>
              <w:top w:w="80" w:type="dxa"/>
              <w:start w:w="120" w:type="dxa"/>
              <w:bottom w:w="80" w:type="dxa"/>
              <w:end w:w="120" w:type="dxa"/>
            </w:tcMar>
            <w:vAlign w:val="top"/>
          </w:tcPr>
          <w:p>
            <w:pPr>
              <w:spacing w:after="0"/>
            </w:pPr>
            <w:r>
              <w:rPr>
                <w:sz w:val="17"/>
              </w:rPr>
              <w:t>6</w:t>
            </w:r>
          </w:p>
        </w:tc>
        <w:tc>
          <w:tcPr>
            <w:tcW w:type="dxa" w:w="2300"/>
            <w:tcMar>
              <w:top w:w="80" w:type="dxa"/>
              <w:start w:w="120" w:type="dxa"/>
              <w:bottom w:w="80" w:type="dxa"/>
              <w:end w:w="120" w:type="dxa"/>
            </w:tcMar>
            <w:vAlign w:val="top"/>
          </w:tcPr>
          <w:p>
            <w:pPr>
              <w:spacing w:after="0"/>
            </w:pPr>
            <w:r>
              <w:rPr>
                <w:sz w:val="17"/>
              </w:rPr>
              <w:t>Missing-item self-service refund</w:t>
            </w:r>
          </w:p>
        </w:tc>
        <w:tc>
          <w:tcPr>
            <w:tcW w:type="dxa" w:w="850"/>
            <w:tcMar>
              <w:top w:w="80" w:type="dxa"/>
              <w:start w:w="120" w:type="dxa"/>
              <w:bottom w:w="80" w:type="dxa"/>
              <w:end w:w="120" w:type="dxa"/>
            </w:tcMar>
            <w:vAlign w:val="top"/>
          </w:tcPr>
          <w:p>
            <w:pPr>
              <w:spacing w:after="0"/>
            </w:pPr>
            <w:r>
              <w:rPr>
                <w:sz w:val="17"/>
              </w:rPr>
              <w:t>100,000</w:t>
            </w:r>
          </w:p>
        </w:tc>
        <w:tc>
          <w:tcPr>
            <w:tcW w:type="dxa" w:w="600"/>
            <w:tcMar>
              <w:top w:w="80" w:type="dxa"/>
              <w:start w:w="120" w:type="dxa"/>
              <w:bottom w:w="80" w:type="dxa"/>
              <w:end w:w="120" w:type="dxa"/>
            </w:tcMar>
            <w:vAlign w:val="top"/>
          </w:tcPr>
          <w:p>
            <w:pPr>
              <w:spacing w:after="0"/>
            </w:pPr>
            <w:r>
              <w:rPr>
                <w:sz w:val="17"/>
              </w:rPr>
              <w:t>2.0</w:t>
            </w:r>
          </w:p>
        </w:tc>
        <w:tc>
          <w:tcPr>
            <w:tcW w:type="dxa" w:w="750"/>
            <w:tcMar>
              <w:top w:w="80" w:type="dxa"/>
              <w:start w:w="120" w:type="dxa"/>
              <w:bottom w:w="80" w:type="dxa"/>
              <w:end w:w="120" w:type="dxa"/>
            </w:tcMar>
            <w:vAlign w:val="top"/>
          </w:tcPr>
          <w:p>
            <w:pPr>
              <w:spacing w:after="0"/>
            </w:pPr>
            <w:r>
              <w:rPr>
                <w:sz w:val="17"/>
              </w:rPr>
              <w:t>85%</w:t>
            </w:r>
          </w:p>
        </w:tc>
        <w:tc>
          <w:tcPr>
            <w:tcW w:type="dxa" w:w="550"/>
            <w:tcMar>
              <w:top w:w="80" w:type="dxa"/>
              <w:start w:w="120" w:type="dxa"/>
              <w:bottom w:w="80" w:type="dxa"/>
              <w:end w:w="120" w:type="dxa"/>
            </w:tcMar>
            <w:vAlign w:val="top"/>
          </w:tcPr>
          <w:p>
            <w:pPr>
              <w:spacing w:after="0"/>
            </w:pPr>
            <w:r>
              <w:rPr>
                <w:sz w:val="17"/>
              </w:rPr>
              <w:t>2</w:t>
            </w:r>
          </w:p>
        </w:tc>
        <w:tc>
          <w:tcPr>
            <w:tcW w:type="dxa" w:w="850"/>
            <w:tcMar>
              <w:top w:w="80" w:type="dxa"/>
              <w:start w:w="120" w:type="dxa"/>
              <w:bottom w:w="80" w:type="dxa"/>
              <w:end w:w="120" w:type="dxa"/>
            </w:tcMar>
            <w:vAlign w:val="top"/>
          </w:tcPr>
          <w:p>
            <w:pPr>
              <w:spacing w:after="0"/>
            </w:pPr>
            <w:r>
              <w:rPr>
                <w:sz w:val="17"/>
              </w:rPr>
              <w:t>85,000</w:t>
            </w:r>
          </w:p>
        </w:tc>
        <w:tc>
          <w:tcPr>
            <w:tcW w:type="dxa" w:w="2460"/>
            <w:tcMar>
              <w:top w:w="80" w:type="dxa"/>
              <w:start w:w="120" w:type="dxa"/>
              <w:bottom w:w="80" w:type="dxa"/>
              <w:end w:w="120" w:type="dxa"/>
            </w:tcMar>
            <w:vAlign w:val="top"/>
          </w:tcPr>
          <w:p>
            <w:pPr>
              <w:spacing w:after="0"/>
            </w:pPr>
            <w:r>
              <w:rPr>
                <w:sz w:val="17"/>
              </w:rPr>
              <w:t>Q2 Must</w:t>
            </w:r>
          </w:p>
        </w:tc>
      </w:tr>
      <w:tr>
        <w:tc>
          <w:tcPr>
            <w:tcW w:type="dxa" w:w="500"/>
            <w:tcMar>
              <w:top w:w="80" w:type="dxa"/>
              <w:start w:w="120" w:type="dxa"/>
              <w:bottom w:w="80" w:type="dxa"/>
              <w:end w:w="120" w:type="dxa"/>
            </w:tcMar>
            <w:vAlign w:val="top"/>
          </w:tcPr>
          <w:p>
            <w:pPr>
              <w:spacing w:after="0"/>
            </w:pPr>
            <w:r>
              <w:rPr>
                <w:sz w:val="17"/>
              </w:rPr>
              <w:t>7</w:t>
            </w:r>
          </w:p>
        </w:tc>
        <w:tc>
          <w:tcPr>
            <w:tcW w:type="dxa" w:w="2300"/>
            <w:tcMar>
              <w:top w:w="80" w:type="dxa"/>
              <w:start w:w="120" w:type="dxa"/>
              <w:bottom w:w="80" w:type="dxa"/>
              <w:end w:w="120" w:type="dxa"/>
            </w:tcMar>
            <w:vAlign w:val="top"/>
          </w:tcPr>
          <w:p>
            <w:pPr>
              <w:spacing w:after="0"/>
            </w:pPr>
            <w:r>
              <w:rPr>
                <w:sz w:val="17"/>
              </w:rPr>
              <w:t>Delivery instructions</w:t>
            </w:r>
          </w:p>
        </w:tc>
        <w:tc>
          <w:tcPr>
            <w:tcW w:type="dxa" w:w="850"/>
            <w:tcMar>
              <w:top w:w="80" w:type="dxa"/>
              <w:start w:w="120" w:type="dxa"/>
              <w:bottom w:w="80" w:type="dxa"/>
              <w:end w:w="120" w:type="dxa"/>
            </w:tcMar>
            <w:vAlign w:val="top"/>
          </w:tcPr>
          <w:p>
            <w:pPr>
              <w:spacing w:after="0"/>
            </w:pPr>
            <w:r>
              <w:rPr>
                <w:sz w:val="17"/>
              </w:rPr>
              <w:t>110,000</w:t>
            </w:r>
          </w:p>
        </w:tc>
        <w:tc>
          <w:tcPr>
            <w:tcW w:type="dxa" w:w="600"/>
            <w:tcMar>
              <w:top w:w="80" w:type="dxa"/>
              <w:start w:w="120" w:type="dxa"/>
              <w:bottom w:w="80" w:type="dxa"/>
              <w:end w:w="120" w:type="dxa"/>
            </w:tcMar>
            <w:vAlign w:val="top"/>
          </w:tcPr>
          <w:p>
            <w:pPr>
              <w:spacing w:after="0"/>
            </w:pPr>
            <w:r>
              <w:rPr>
                <w:sz w:val="17"/>
              </w:rPr>
              <w:t>1.0</w:t>
            </w:r>
          </w:p>
        </w:tc>
        <w:tc>
          <w:tcPr>
            <w:tcW w:type="dxa" w:w="750"/>
            <w:tcMar>
              <w:top w:w="80" w:type="dxa"/>
              <w:start w:w="120" w:type="dxa"/>
              <w:bottom w:w="80" w:type="dxa"/>
              <w:end w:w="120" w:type="dxa"/>
            </w:tcMar>
            <w:vAlign w:val="top"/>
          </w:tcPr>
          <w:p>
            <w:pPr>
              <w:spacing w:after="0"/>
            </w:pPr>
            <w:r>
              <w:rPr>
                <w:sz w:val="17"/>
              </w:rPr>
              <w:t>75%</w:t>
            </w:r>
          </w:p>
        </w:tc>
        <w:tc>
          <w:tcPr>
            <w:tcW w:type="dxa" w:w="550"/>
            <w:tcMar>
              <w:top w:w="80" w:type="dxa"/>
              <w:start w:w="120" w:type="dxa"/>
              <w:bottom w:w="80" w:type="dxa"/>
              <w:end w:w="120" w:type="dxa"/>
            </w:tcMar>
            <w:vAlign w:val="top"/>
          </w:tcPr>
          <w:p>
            <w:pPr>
              <w:spacing w:after="0"/>
            </w:pPr>
            <w:r>
              <w:rPr>
                <w:sz w:val="17"/>
              </w:rPr>
              <w:t>1</w:t>
            </w:r>
          </w:p>
        </w:tc>
        <w:tc>
          <w:tcPr>
            <w:tcW w:type="dxa" w:w="850"/>
            <w:tcMar>
              <w:top w:w="80" w:type="dxa"/>
              <w:start w:w="120" w:type="dxa"/>
              <w:bottom w:w="80" w:type="dxa"/>
              <w:end w:w="120" w:type="dxa"/>
            </w:tcMar>
            <w:vAlign w:val="top"/>
          </w:tcPr>
          <w:p>
            <w:pPr>
              <w:spacing w:after="0"/>
            </w:pPr>
            <w:r>
              <w:rPr>
                <w:sz w:val="17"/>
              </w:rPr>
              <w:t>82,500</w:t>
            </w:r>
          </w:p>
        </w:tc>
        <w:tc>
          <w:tcPr>
            <w:tcW w:type="dxa" w:w="2460"/>
            <w:tcMar>
              <w:top w:w="80" w:type="dxa"/>
              <w:start w:w="120" w:type="dxa"/>
              <w:bottom w:w="80" w:type="dxa"/>
              <w:end w:w="120" w:type="dxa"/>
            </w:tcMar>
            <w:vAlign w:val="top"/>
          </w:tcPr>
          <w:p>
            <w:pPr>
              <w:spacing w:after="0"/>
            </w:pPr>
            <w:r>
              <w:rPr>
                <w:sz w:val="17"/>
              </w:rPr>
              <w:t>Q2 Should</w:t>
            </w:r>
          </w:p>
        </w:tc>
      </w:tr>
      <w:tr>
        <w:tc>
          <w:tcPr>
            <w:tcW w:type="dxa" w:w="500"/>
            <w:tcMar>
              <w:top w:w="80" w:type="dxa"/>
              <w:start w:w="120" w:type="dxa"/>
              <w:bottom w:w="80" w:type="dxa"/>
              <w:end w:w="120" w:type="dxa"/>
            </w:tcMar>
            <w:vAlign w:val="top"/>
          </w:tcPr>
          <w:p>
            <w:pPr>
              <w:spacing w:after="0"/>
            </w:pPr>
            <w:r>
              <w:rPr>
                <w:sz w:val="17"/>
              </w:rPr>
              <w:t>8</w:t>
            </w:r>
          </w:p>
        </w:tc>
        <w:tc>
          <w:tcPr>
            <w:tcW w:type="dxa" w:w="2300"/>
            <w:tcMar>
              <w:top w:w="80" w:type="dxa"/>
              <w:start w:w="120" w:type="dxa"/>
              <w:bottom w:w="80" w:type="dxa"/>
              <w:end w:w="120" w:type="dxa"/>
            </w:tcMar>
            <w:vAlign w:val="top"/>
          </w:tcPr>
          <w:p>
            <w:pPr>
              <w:spacing w:after="0"/>
            </w:pPr>
            <w:r>
              <w:rPr>
                <w:sz w:val="17"/>
              </w:rPr>
              <w:t>Scheduled delivery slots</w:t>
            </w:r>
          </w:p>
        </w:tc>
        <w:tc>
          <w:tcPr>
            <w:tcW w:type="dxa" w:w="850"/>
            <w:tcMar>
              <w:top w:w="80" w:type="dxa"/>
              <w:start w:w="120" w:type="dxa"/>
              <w:bottom w:w="80" w:type="dxa"/>
              <w:end w:w="120" w:type="dxa"/>
            </w:tcMar>
            <w:vAlign w:val="top"/>
          </w:tcPr>
          <w:p>
            <w:pPr>
              <w:spacing w:after="0"/>
            </w:pPr>
            <w:r>
              <w:rPr>
                <w:sz w:val="17"/>
              </w:rPr>
              <w:t>160,000</w:t>
            </w:r>
          </w:p>
        </w:tc>
        <w:tc>
          <w:tcPr>
            <w:tcW w:type="dxa" w:w="600"/>
            <w:tcMar>
              <w:top w:w="80" w:type="dxa"/>
              <w:start w:w="120" w:type="dxa"/>
              <w:bottom w:w="80" w:type="dxa"/>
              <w:end w:w="120" w:type="dxa"/>
            </w:tcMar>
            <w:vAlign w:val="top"/>
          </w:tcPr>
          <w:p>
            <w:pPr>
              <w:spacing w:after="0"/>
            </w:pPr>
            <w:r>
              <w:rPr>
                <w:sz w:val="17"/>
              </w:rPr>
              <w:t>2.0</w:t>
            </w:r>
          </w:p>
        </w:tc>
        <w:tc>
          <w:tcPr>
            <w:tcW w:type="dxa" w:w="750"/>
            <w:tcMar>
              <w:top w:w="80" w:type="dxa"/>
              <w:start w:w="120" w:type="dxa"/>
              <w:bottom w:w="80" w:type="dxa"/>
              <w:end w:w="120" w:type="dxa"/>
            </w:tcMar>
            <w:vAlign w:val="top"/>
          </w:tcPr>
          <w:p>
            <w:pPr>
              <w:spacing w:after="0"/>
            </w:pPr>
            <w:r>
              <w:rPr>
                <w:sz w:val="17"/>
              </w:rPr>
              <w:t>75%</w:t>
            </w:r>
          </w:p>
        </w:tc>
        <w:tc>
          <w:tcPr>
            <w:tcW w:type="dxa" w:w="550"/>
            <w:tcMar>
              <w:top w:w="80" w:type="dxa"/>
              <w:start w:w="120" w:type="dxa"/>
              <w:bottom w:w="80" w:type="dxa"/>
              <w:end w:w="120" w:type="dxa"/>
            </w:tcMar>
            <w:vAlign w:val="top"/>
          </w:tcPr>
          <w:p>
            <w:pPr>
              <w:spacing w:after="0"/>
            </w:pPr>
            <w:r>
              <w:rPr>
                <w:sz w:val="17"/>
              </w:rPr>
              <w:t>3</w:t>
            </w:r>
          </w:p>
        </w:tc>
        <w:tc>
          <w:tcPr>
            <w:tcW w:type="dxa" w:w="850"/>
            <w:tcMar>
              <w:top w:w="80" w:type="dxa"/>
              <w:start w:w="120" w:type="dxa"/>
              <w:bottom w:w="80" w:type="dxa"/>
              <w:end w:w="120" w:type="dxa"/>
            </w:tcMar>
            <w:vAlign w:val="top"/>
          </w:tcPr>
          <w:p>
            <w:pPr>
              <w:spacing w:after="0"/>
            </w:pPr>
            <w:r>
              <w:rPr>
                <w:sz w:val="17"/>
              </w:rPr>
              <w:t>80,000</w:t>
            </w:r>
          </w:p>
        </w:tc>
        <w:tc>
          <w:tcPr>
            <w:tcW w:type="dxa" w:w="2460"/>
            <w:tcMar>
              <w:top w:w="80" w:type="dxa"/>
              <w:start w:w="120" w:type="dxa"/>
              <w:bottom w:w="80" w:type="dxa"/>
              <w:end w:w="120" w:type="dxa"/>
            </w:tcMar>
            <w:vAlign w:val="top"/>
          </w:tcPr>
          <w:p>
            <w:pPr>
              <w:spacing w:after="0"/>
            </w:pPr>
            <w:r>
              <w:rPr>
                <w:sz w:val="17"/>
              </w:rPr>
              <w:t>Q2 Should</w:t>
            </w:r>
          </w:p>
        </w:tc>
      </w:tr>
    </w:tbl>
    <w:p>
      <w:pPr>
        <w:spacing w:after="40"/>
      </w:pPr>
    </w:p>
    <w:p>
      <w:pPr>
        <w:pStyle w:val="Caption"/>
      </w:pPr>
      <w:r>
        <w:t>Note: RICE scores are synthetic calculations. The ranking table highlights the strongest opportunities; the complete and editable model is in the supporting workbook.</w:t>
      </w:r>
    </w:p>
    <w:p>
      <w:pPr>
        <w:pStyle w:val="Heading2"/>
      </w:pPr>
      <w:r>
        <w:t>MoSCoW: scope protection</w:t>
      </w:r>
    </w:p>
    <w:tbl>
      <w:tblPr>
        <w:tblW w:type="auto" w:w="0"/>
        <w:jc w:val="left"/>
        <w:tblLayout w:type="fixed"/>
        <w:tblLook w:firstColumn="1" w:firstRow="1" w:lastColumn="0" w:lastRow="0" w:noHBand="0" w:noVBand="1" w:val="04A0"/>
        <w:tblBorders>
          <w:top w:val="single" w:sz="4" w:color="D7DEE7"/>
          <w:left w:val="single" w:sz="4" w:color="D7DEE7"/>
          <w:bottom w:val="single" w:sz="4" w:color="D7DEE7"/>
          <w:right w:val="single" w:sz="4" w:color="D7DEE7"/>
          <w:insideH w:val="single" w:sz="4" w:color="D7DEE7"/>
          <w:insideV w:val="single" w:sz="4" w:color="D7DEE7"/>
        </w:tblBorders>
      </w:tblPr>
      <w:tblGrid>
        <w:gridCol w:w="4968"/>
        <w:gridCol w:w="4968"/>
      </w:tblGrid>
      <w:tr>
        <w:tc>
          <w:tcPr>
            <w:tcW w:type="dxa" w:w="1500"/>
            <w:tcMar>
              <w:top w:w="80" w:type="dxa"/>
              <w:start w:w="120" w:type="dxa"/>
              <w:bottom w:w="80" w:type="dxa"/>
              <w:end w:w="120" w:type="dxa"/>
            </w:tcMar>
            <w:shd w:fill="E8EEF5"/>
            <w:vAlign w:val="center"/>
          </w:tcPr>
          <w:p>
            <w:pPr>
              <w:spacing w:after="0"/>
            </w:pPr>
            <w:r>
              <w:rPr>
                <w:b/>
                <w:color w:val="0B2545"/>
                <w:sz w:val="18"/>
              </w:rPr>
              <w:t>Category</w:t>
            </w:r>
          </w:p>
        </w:tc>
        <w:tc>
          <w:tcPr>
            <w:tcW w:type="dxa" w:w="7860"/>
            <w:tcMar>
              <w:top w:w="80" w:type="dxa"/>
              <w:start w:w="120" w:type="dxa"/>
              <w:bottom w:w="80" w:type="dxa"/>
              <w:end w:w="120" w:type="dxa"/>
            </w:tcMar>
            <w:shd w:fill="E8EEF5"/>
            <w:vAlign w:val="center"/>
          </w:tcPr>
          <w:p>
            <w:pPr>
              <w:spacing w:after="0"/>
            </w:pPr>
            <w:r>
              <w:rPr>
                <w:b/>
                <w:color w:val="0B2545"/>
                <w:sz w:val="18"/>
              </w:rPr>
              <w:t>How it was used in this case</w:t>
            </w:r>
          </w:p>
        </w:tc>
      </w:tr>
      <w:tr>
        <w:tc>
          <w:tcPr>
            <w:tcW w:type="dxa" w:w="1500"/>
            <w:tcMar>
              <w:top w:w="80" w:type="dxa"/>
              <w:start w:w="120" w:type="dxa"/>
              <w:bottom w:w="80" w:type="dxa"/>
              <w:end w:w="120" w:type="dxa"/>
            </w:tcMar>
            <w:vAlign w:val="top"/>
          </w:tcPr>
          <w:p>
            <w:pPr>
              <w:spacing w:after="0"/>
            </w:pPr>
            <w:r>
              <w:rPr>
                <w:sz w:val="17"/>
              </w:rPr>
              <w:t>Must</w:t>
            </w:r>
          </w:p>
        </w:tc>
        <w:tc>
          <w:tcPr>
            <w:tcW w:type="dxa" w:w="7860"/>
            <w:tcMar>
              <w:top w:w="80" w:type="dxa"/>
              <w:start w:w="120" w:type="dxa"/>
              <w:bottom w:w="80" w:type="dxa"/>
              <w:end w:w="120" w:type="dxa"/>
            </w:tcMar>
            <w:vAlign w:val="top"/>
          </w:tcPr>
          <w:p>
            <w:pPr>
              <w:spacing w:after="0"/>
            </w:pPr>
            <w:r>
              <w:rPr>
                <w:sz w:val="17"/>
              </w:rPr>
              <w:t>Core trust and repeat-purchase flows: tracking, substitutions, reorder, availability, and self-service refunds.</w:t>
            </w:r>
          </w:p>
        </w:tc>
      </w:tr>
      <w:tr>
        <w:tc>
          <w:tcPr>
            <w:tcW w:type="dxa" w:w="1500"/>
            <w:tcMar>
              <w:top w:w="80" w:type="dxa"/>
              <w:start w:w="120" w:type="dxa"/>
              <w:bottom w:w="80" w:type="dxa"/>
              <w:end w:w="120" w:type="dxa"/>
            </w:tcMar>
            <w:vAlign w:val="top"/>
          </w:tcPr>
          <w:p>
            <w:pPr>
              <w:spacing w:after="0"/>
            </w:pPr>
            <w:r>
              <w:rPr>
                <w:sz w:val="17"/>
              </w:rPr>
              <w:t>Should</w:t>
            </w:r>
          </w:p>
        </w:tc>
        <w:tc>
          <w:tcPr>
            <w:tcW w:type="dxa" w:w="7860"/>
            <w:tcMar>
              <w:top w:w="80" w:type="dxa"/>
              <w:start w:w="120" w:type="dxa"/>
              <w:bottom w:w="80" w:type="dxa"/>
              <w:end w:w="120" w:type="dxa"/>
            </w:tcMar>
            <w:vAlign w:val="top"/>
          </w:tcPr>
          <w:p>
            <w:pPr>
              <w:spacing w:after="0"/>
            </w:pPr>
            <w:r>
              <w:rPr>
                <w:sz w:val="17"/>
              </w:rPr>
              <w:t>High-value planned-shopping improvements: lists, instructions, dietary filters, and delivery slots.</w:t>
            </w:r>
          </w:p>
        </w:tc>
      </w:tr>
      <w:tr>
        <w:tc>
          <w:tcPr>
            <w:tcW w:type="dxa" w:w="1500"/>
            <w:tcMar>
              <w:top w:w="80" w:type="dxa"/>
              <w:start w:w="120" w:type="dxa"/>
              <w:bottom w:w="80" w:type="dxa"/>
              <w:end w:w="120" w:type="dxa"/>
            </w:tcMar>
            <w:vAlign w:val="top"/>
          </w:tcPr>
          <w:p>
            <w:pPr>
              <w:spacing w:after="0"/>
            </w:pPr>
            <w:r>
              <w:rPr>
                <w:sz w:val="17"/>
              </w:rPr>
              <w:t>Could</w:t>
            </w:r>
          </w:p>
        </w:tc>
        <w:tc>
          <w:tcPr>
            <w:tcW w:type="dxa" w:w="7860"/>
            <w:tcMar>
              <w:top w:w="80" w:type="dxa"/>
              <w:start w:w="120" w:type="dxa"/>
              <w:bottom w:w="80" w:type="dxa"/>
              <w:end w:w="120" w:type="dxa"/>
            </w:tcMar>
            <w:vAlign w:val="top"/>
          </w:tcPr>
          <w:p>
            <w:pPr>
              <w:spacing w:after="0"/>
            </w:pPr>
            <w:r>
              <w:rPr>
                <w:sz w:val="17"/>
              </w:rPr>
              <w:t>Experiment candidates: price alerts, delivery pass, replenishment, live chat, split payment, reviews, loyalty.</w:t>
            </w:r>
          </w:p>
        </w:tc>
      </w:tr>
      <w:tr>
        <w:tc>
          <w:tcPr>
            <w:tcW w:type="dxa" w:w="1500"/>
            <w:tcMar>
              <w:top w:w="80" w:type="dxa"/>
              <w:start w:w="120" w:type="dxa"/>
              <w:bottom w:w="80" w:type="dxa"/>
              <w:end w:w="120" w:type="dxa"/>
            </w:tcMar>
            <w:vAlign w:val="top"/>
          </w:tcPr>
          <w:p>
            <w:pPr>
              <w:spacing w:after="0"/>
            </w:pPr>
            <w:r>
              <w:rPr>
                <w:sz w:val="17"/>
              </w:rPr>
              <w:t>Won’t this cycle</w:t>
            </w:r>
          </w:p>
        </w:tc>
        <w:tc>
          <w:tcPr>
            <w:tcW w:type="dxa" w:w="7860"/>
            <w:tcMar>
              <w:top w:w="80" w:type="dxa"/>
              <w:start w:w="120" w:type="dxa"/>
              <w:bottom w:w="80" w:type="dxa"/>
              <w:end w:w="120" w:type="dxa"/>
            </w:tcMar>
            <w:vAlign w:val="top"/>
          </w:tcPr>
          <w:p>
            <w:pPr>
              <w:spacing w:after="0"/>
            </w:pPr>
            <w:r>
              <w:rPr>
                <w:sz w:val="17"/>
              </w:rPr>
              <w:t>Dark-store selection and reusable-bag preference; explicit deferral protects focus, not permanent rejection.</w:t>
            </w:r>
          </w:p>
        </w:tc>
      </w:tr>
    </w:tbl>
    <w:p>
      <w:pPr>
        <w:spacing w:after="40"/>
      </w:pPr>
    </w:p>
    <w:p>
      <w:pPr>
        <w:pStyle w:val="Heading1"/>
      </w:pPr>
      <w:r>
        <w:t>4. Quarterly roadmap</w:t>
      </w:r>
    </w:p>
    <w:tbl>
      <w:tblPr>
        <w:tblW w:type="auto" w:w="0"/>
        <w:jc w:val="left"/>
        <w:tblLayout w:type="fixed"/>
        <w:tblLook w:firstColumn="1" w:firstRow="1" w:lastColumn="0" w:lastRow="0" w:noHBand="0" w:noVBand="1" w:val="04A0"/>
        <w:tblBorders>
          <w:top w:val="single" w:sz="4" w:color="D7DEE7"/>
          <w:left w:val="single" w:sz="4" w:color="D7DEE7"/>
          <w:bottom w:val="single" w:sz="4" w:color="D7DEE7"/>
          <w:right w:val="single" w:sz="4" w:color="D7DEE7"/>
          <w:insideH w:val="single" w:sz="4" w:color="D7DEE7"/>
          <w:insideV w:val="single" w:sz="4" w:color="D7DEE7"/>
        </w:tblBorders>
      </w:tblPr>
      <w:tblGrid>
        <w:gridCol w:w="2484"/>
        <w:gridCol w:w="2484"/>
        <w:gridCol w:w="2484"/>
        <w:gridCol w:w="2484"/>
      </w:tblGrid>
      <w:tr>
        <w:tc>
          <w:tcPr>
            <w:tcW w:type="dxa" w:w="1350"/>
            <w:tcMar>
              <w:top w:w="80" w:type="dxa"/>
              <w:start w:w="120" w:type="dxa"/>
              <w:bottom w:w="80" w:type="dxa"/>
              <w:end w:w="120" w:type="dxa"/>
            </w:tcMar>
            <w:shd w:fill="E8EEF5"/>
            <w:vAlign w:val="center"/>
          </w:tcPr>
          <w:p>
            <w:pPr>
              <w:spacing w:after="0"/>
            </w:pPr>
            <w:r>
              <w:rPr>
                <w:b/>
                <w:color w:val="0B2545"/>
                <w:sz w:val="18"/>
              </w:rPr>
              <w:t>Quarter</w:t>
            </w:r>
          </w:p>
        </w:tc>
        <w:tc>
          <w:tcPr>
            <w:tcW w:type="dxa" w:w="2450"/>
            <w:tcMar>
              <w:top w:w="80" w:type="dxa"/>
              <w:start w:w="120" w:type="dxa"/>
              <w:bottom w:w="80" w:type="dxa"/>
              <w:end w:w="120" w:type="dxa"/>
            </w:tcMar>
            <w:shd w:fill="E8EEF5"/>
            <w:vAlign w:val="center"/>
          </w:tcPr>
          <w:p>
            <w:pPr>
              <w:spacing w:after="0"/>
            </w:pPr>
            <w:r>
              <w:rPr>
                <w:b/>
                <w:color w:val="0B2545"/>
                <w:sz w:val="18"/>
              </w:rPr>
              <w:t>Outcome</w:t>
            </w:r>
          </w:p>
        </w:tc>
        <w:tc>
          <w:tcPr>
            <w:tcW w:type="dxa" w:w="3300"/>
            <w:tcMar>
              <w:top w:w="80" w:type="dxa"/>
              <w:start w:w="120" w:type="dxa"/>
              <w:bottom w:w="80" w:type="dxa"/>
              <w:end w:w="120" w:type="dxa"/>
            </w:tcMar>
            <w:shd w:fill="E8EEF5"/>
            <w:vAlign w:val="center"/>
          </w:tcPr>
          <w:p>
            <w:pPr>
              <w:spacing w:after="0"/>
            </w:pPr>
            <w:r>
              <w:rPr>
                <w:b/>
                <w:color w:val="0B2545"/>
                <w:sz w:val="18"/>
              </w:rPr>
              <w:t>Scope</w:t>
            </w:r>
          </w:p>
        </w:tc>
        <w:tc>
          <w:tcPr>
            <w:tcW w:type="dxa" w:w="2260"/>
            <w:tcMar>
              <w:top w:w="80" w:type="dxa"/>
              <w:start w:w="120" w:type="dxa"/>
              <w:bottom w:w="80" w:type="dxa"/>
              <w:end w:w="120" w:type="dxa"/>
            </w:tcMar>
            <w:shd w:fill="E8EEF5"/>
            <w:vAlign w:val="center"/>
          </w:tcPr>
          <w:p>
            <w:pPr>
              <w:spacing w:after="0"/>
            </w:pPr>
            <w:r>
              <w:rPr>
                <w:b/>
                <w:color w:val="0B2545"/>
                <w:sz w:val="18"/>
              </w:rPr>
              <w:t>Proof point</w:t>
            </w:r>
          </w:p>
        </w:tc>
      </w:tr>
      <w:tr>
        <w:tc>
          <w:tcPr>
            <w:tcW w:type="dxa" w:w="1350"/>
            <w:tcMar>
              <w:top w:w="80" w:type="dxa"/>
              <w:start w:w="120" w:type="dxa"/>
              <w:bottom w:w="80" w:type="dxa"/>
              <w:end w:w="120" w:type="dxa"/>
            </w:tcMar>
            <w:vAlign w:val="top"/>
          </w:tcPr>
          <w:p>
            <w:pPr>
              <w:spacing w:after="0"/>
            </w:pPr>
            <w:r>
              <w:rPr>
                <w:sz w:val="17"/>
              </w:rPr>
              <w:t>Q1 — Trust the core order</w:t>
            </w:r>
          </w:p>
        </w:tc>
        <w:tc>
          <w:tcPr>
            <w:tcW w:type="dxa" w:w="2450"/>
            <w:tcMar>
              <w:top w:w="80" w:type="dxa"/>
              <w:start w:w="120" w:type="dxa"/>
              <w:bottom w:w="80" w:type="dxa"/>
              <w:end w:w="120" w:type="dxa"/>
            </w:tcMar>
            <w:vAlign w:val="top"/>
          </w:tcPr>
          <w:p>
            <w:pPr>
              <w:spacing w:after="0"/>
            </w:pPr>
            <w:r>
              <w:rPr>
                <w:sz w:val="17"/>
              </w:rPr>
              <w:t>Increase confidence from checkout to doorstep.</w:t>
            </w:r>
          </w:p>
        </w:tc>
        <w:tc>
          <w:tcPr>
            <w:tcW w:type="dxa" w:w="3300"/>
            <w:tcMar>
              <w:top w:w="80" w:type="dxa"/>
              <w:start w:w="120" w:type="dxa"/>
              <w:bottom w:w="80" w:type="dxa"/>
              <w:end w:w="120" w:type="dxa"/>
            </w:tcMar>
            <w:vAlign w:val="top"/>
          </w:tcPr>
          <w:p>
            <w:pPr>
              <w:spacing w:after="0"/>
            </w:pPr>
            <w:r>
              <w:rPr>
                <w:sz w:val="17"/>
              </w:rPr>
              <w:t>Tracking, substitution preferences, reorder, availability badges.</w:t>
            </w:r>
          </w:p>
        </w:tc>
        <w:tc>
          <w:tcPr>
            <w:tcW w:type="dxa" w:w="2260"/>
            <w:tcMar>
              <w:top w:w="80" w:type="dxa"/>
              <w:start w:w="120" w:type="dxa"/>
              <w:bottom w:w="80" w:type="dxa"/>
              <w:end w:w="120" w:type="dxa"/>
            </w:tcMar>
            <w:vAlign w:val="top"/>
          </w:tcPr>
          <w:p>
            <w:pPr>
              <w:spacing w:after="0"/>
            </w:pPr>
            <w:r>
              <w:rPr>
                <w:sz w:val="17"/>
              </w:rPr>
              <w:t>Order-contact rate declines; substitution acceptance improves; repeat purchase lifts.</w:t>
            </w:r>
          </w:p>
        </w:tc>
      </w:tr>
      <w:tr>
        <w:tc>
          <w:tcPr>
            <w:tcW w:type="dxa" w:w="1350"/>
            <w:tcMar>
              <w:top w:w="80" w:type="dxa"/>
              <w:start w:w="120" w:type="dxa"/>
              <w:bottom w:w="80" w:type="dxa"/>
              <w:end w:w="120" w:type="dxa"/>
            </w:tcMar>
            <w:vAlign w:val="top"/>
          </w:tcPr>
          <w:p>
            <w:pPr>
              <w:spacing w:after="0"/>
            </w:pPr>
            <w:r>
              <w:rPr>
                <w:sz w:val="17"/>
              </w:rPr>
              <w:t>Q2 — Make planned shopping easier</w:t>
            </w:r>
          </w:p>
        </w:tc>
        <w:tc>
          <w:tcPr>
            <w:tcW w:type="dxa" w:w="2450"/>
            <w:tcMar>
              <w:top w:w="80" w:type="dxa"/>
              <w:start w:w="120" w:type="dxa"/>
              <w:bottom w:w="80" w:type="dxa"/>
              <w:end w:w="120" w:type="dxa"/>
            </w:tcMar>
            <w:vAlign w:val="top"/>
          </w:tcPr>
          <w:p>
            <w:pPr>
              <w:spacing w:after="0"/>
            </w:pPr>
            <w:r>
              <w:rPr>
                <w:sz w:val="17"/>
              </w:rPr>
              <w:t>Reduce weekly-shopping effort and resolve failures faster.</w:t>
            </w:r>
          </w:p>
        </w:tc>
        <w:tc>
          <w:tcPr>
            <w:tcW w:type="dxa" w:w="3300"/>
            <w:tcMar>
              <w:top w:w="80" w:type="dxa"/>
              <w:start w:w="120" w:type="dxa"/>
              <w:bottom w:w="80" w:type="dxa"/>
              <w:end w:w="120" w:type="dxa"/>
            </w:tcMar>
            <w:vAlign w:val="top"/>
          </w:tcPr>
          <w:p>
            <w:pPr>
              <w:spacing w:after="0"/>
            </w:pPr>
            <w:r>
              <w:rPr>
                <w:sz w:val="17"/>
              </w:rPr>
              <w:t>Self-service refunds, saved lists, delivery instructions, dietary filters, delivery slots.</w:t>
            </w:r>
          </w:p>
        </w:tc>
        <w:tc>
          <w:tcPr>
            <w:tcW w:type="dxa" w:w="2260"/>
            <w:tcMar>
              <w:top w:w="80" w:type="dxa"/>
              <w:start w:w="120" w:type="dxa"/>
              <w:bottom w:w="80" w:type="dxa"/>
              <w:end w:w="120" w:type="dxa"/>
            </w:tcMar>
            <w:vAlign w:val="top"/>
          </w:tcPr>
          <w:p>
            <w:pPr>
              <w:spacing w:after="0"/>
            </w:pPr>
            <w:r>
              <w:rPr>
                <w:sz w:val="17"/>
              </w:rPr>
              <w:t>Resolution time declines; scheduled-order completion stays healthy.</w:t>
            </w:r>
          </w:p>
        </w:tc>
      </w:tr>
      <w:tr>
        <w:tc>
          <w:tcPr>
            <w:tcW w:type="dxa" w:w="1350"/>
            <w:tcMar>
              <w:top w:w="80" w:type="dxa"/>
              <w:start w:w="120" w:type="dxa"/>
              <w:bottom w:w="80" w:type="dxa"/>
              <w:end w:w="120" w:type="dxa"/>
            </w:tcMar>
            <w:vAlign w:val="top"/>
          </w:tcPr>
          <w:p>
            <w:pPr>
              <w:spacing w:after="0"/>
            </w:pPr>
            <w:r>
              <w:rPr>
                <w:sz w:val="17"/>
              </w:rPr>
              <w:t>Q3 — Test scalable retention</w:t>
            </w:r>
          </w:p>
        </w:tc>
        <w:tc>
          <w:tcPr>
            <w:tcW w:type="dxa" w:w="2450"/>
            <w:tcMar>
              <w:top w:w="80" w:type="dxa"/>
              <w:start w:w="120" w:type="dxa"/>
              <w:bottom w:w="80" w:type="dxa"/>
              <w:end w:w="120" w:type="dxa"/>
            </w:tcMar>
            <w:vAlign w:val="top"/>
          </w:tcPr>
          <w:p>
            <w:pPr>
              <w:spacing w:after="0"/>
            </w:pPr>
            <w:r>
              <w:rPr>
                <w:sz w:val="17"/>
              </w:rPr>
              <w:t>Create repeat-purchase triggers without degrading unit economics.</w:t>
            </w:r>
          </w:p>
        </w:tc>
        <w:tc>
          <w:tcPr>
            <w:tcW w:type="dxa" w:w="3300"/>
            <w:tcMar>
              <w:top w:w="80" w:type="dxa"/>
              <w:start w:w="120" w:type="dxa"/>
              <w:bottom w:w="80" w:type="dxa"/>
              <w:end w:w="120" w:type="dxa"/>
            </w:tcMar>
            <w:vAlign w:val="top"/>
          </w:tcPr>
          <w:p>
            <w:pPr>
              <w:spacing w:after="0"/>
            </w:pPr>
            <w:r>
              <w:rPr>
                <w:sz w:val="17"/>
              </w:rPr>
              <w:t>Price alerts, delivery-pass experiment, replenishment prototype, chat pilot, split payment.</w:t>
            </w:r>
          </w:p>
        </w:tc>
        <w:tc>
          <w:tcPr>
            <w:tcW w:type="dxa" w:w="2260"/>
            <w:tcMar>
              <w:top w:w="80" w:type="dxa"/>
              <w:start w:w="120" w:type="dxa"/>
              <w:bottom w:w="80" w:type="dxa"/>
              <w:end w:w="120" w:type="dxa"/>
            </w:tcMar>
            <w:vAlign w:val="top"/>
          </w:tcPr>
          <w:p>
            <w:pPr>
              <w:spacing w:after="0"/>
            </w:pPr>
            <w:r>
              <w:rPr>
                <w:sz w:val="17"/>
              </w:rPr>
              <w:t>Measured reactivation lift and member margin within guardrails.</w:t>
            </w:r>
          </w:p>
        </w:tc>
      </w:tr>
      <w:tr>
        <w:tc>
          <w:tcPr>
            <w:tcW w:type="dxa" w:w="1350"/>
            <w:tcMar>
              <w:top w:w="80" w:type="dxa"/>
              <w:start w:w="120" w:type="dxa"/>
              <w:bottom w:w="80" w:type="dxa"/>
              <w:end w:w="120" w:type="dxa"/>
            </w:tcMar>
            <w:vAlign w:val="top"/>
          </w:tcPr>
          <w:p>
            <w:pPr>
              <w:spacing w:after="0"/>
            </w:pPr>
            <w:r>
              <w:rPr>
                <w:sz w:val="17"/>
              </w:rPr>
              <w:t>Q4 — Explore, do not commit</w:t>
            </w:r>
          </w:p>
        </w:tc>
        <w:tc>
          <w:tcPr>
            <w:tcW w:type="dxa" w:w="2450"/>
            <w:tcMar>
              <w:top w:w="80" w:type="dxa"/>
              <w:start w:w="120" w:type="dxa"/>
              <w:bottom w:w="80" w:type="dxa"/>
              <w:end w:w="120" w:type="dxa"/>
            </w:tcMar>
            <w:vAlign w:val="top"/>
          </w:tcPr>
          <w:p>
            <w:pPr>
              <w:spacing w:after="0"/>
            </w:pPr>
            <w:r>
              <w:rPr>
                <w:sz w:val="17"/>
              </w:rPr>
              <w:t>Validate social and loyalty concepts before broad investment.</w:t>
            </w:r>
          </w:p>
        </w:tc>
        <w:tc>
          <w:tcPr>
            <w:tcW w:type="dxa" w:w="3300"/>
            <w:tcMar>
              <w:top w:w="80" w:type="dxa"/>
              <w:start w:w="120" w:type="dxa"/>
              <w:bottom w:w="80" w:type="dxa"/>
              <w:end w:w="120" w:type="dxa"/>
            </w:tcMar>
            <w:vAlign w:val="top"/>
          </w:tcPr>
          <w:p>
            <w:pPr>
              <w:spacing w:after="0"/>
            </w:pPr>
            <w:r>
              <w:rPr>
                <w:sz w:val="17"/>
              </w:rPr>
              <w:t>Reviews test, loyalty concept test, sustainability research.</w:t>
            </w:r>
          </w:p>
        </w:tc>
        <w:tc>
          <w:tcPr>
            <w:tcW w:type="dxa" w:w="2260"/>
            <w:tcMar>
              <w:top w:w="80" w:type="dxa"/>
              <w:start w:w="120" w:type="dxa"/>
              <w:bottom w:w="80" w:type="dxa"/>
              <w:end w:w="120" w:type="dxa"/>
            </w:tcMar>
            <w:vAlign w:val="top"/>
          </w:tcPr>
          <w:p>
            <w:pPr>
              <w:spacing w:after="0"/>
            </w:pPr>
            <w:r>
              <w:rPr>
                <w:sz w:val="17"/>
              </w:rPr>
              <w:t>Incremental outcome clear enough to justify next-cycle investment.</w:t>
            </w:r>
          </w:p>
        </w:tc>
      </w:tr>
    </w:tbl>
    <w:p>
      <w:pPr>
        <w:spacing w:after="40"/>
      </w:pPr>
    </w:p>
    <w:p>
      <w:pPr>
        <w:pStyle w:val="Heading1"/>
      </w:pPr>
      <w:r>
        <w:t>5. Key trade-offs &amp; stakeholder alignment</w:t>
      </w:r>
    </w:p>
    <w:tbl>
      <w:tblPr>
        <w:tblW w:type="auto" w:w="0"/>
        <w:jc w:val="left"/>
        <w:tblLayout w:type="fixed"/>
        <w:tblLook w:firstColumn="1" w:firstRow="1" w:lastColumn="0" w:lastRow="0" w:noHBand="0" w:noVBand="1" w:val="04A0"/>
        <w:tblBorders>
          <w:top w:val="single" w:sz="4" w:color="D7DEE7"/>
          <w:left w:val="single" w:sz="4" w:color="D7DEE7"/>
          <w:bottom w:val="single" w:sz="4" w:color="D7DEE7"/>
          <w:right w:val="single" w:sz="4" w:color="D7DEE7"/>
          <w:insideH w:val="single" w:sz="4" w:color="D7DEE7"/>
          <w:insideV w:val="single" w:sz="4" w:color="D7DEE7"/>
        </w:tblBorders>
      </w:tblPr>
      <w:tblGrid>
        <w:gridCol w:w="3312"/>
        <w:gridCol w:w="3312"/>
        <w:gridCol w:w="3312"/>
      </w:tblGrid>
      <w:tr>
        <w:tc>
          <w:tcPr>
            <w:tcW w:type="dxa" w:w="1250"/>
            <w:tcMar>
              <w:top w:w="80" w:type="dxa"/>
              <w:start w:w="120" w:type="dxa"/>
              <w:bottom w:w="80" w:type="dxa"/>
              <w:end w:w="120" w:type="dxa"/>
            </w:tcMar>
            <w:shd w:fill="E8EEF5"/>
            <w:vAlign w:val="center"/>
          </w:tcPr>
          <w:p>
            <w:pPr>
              <w:spacing w:after="0"/>
            </w:pPr>
            <w:r>
              <w:rPr>
                <w:b/>
                <w:color w:val="0B2545"/>
                <w:sz w:val="18"/>
              </w:rPr>
              <w:t>Stakeholder</w:t>
            </w:r>
          </w:p>
        </w:tc>
        <w:tc>
          <w:tcPr>
            <w:tcW w:type="dxa" w:w="2950"/>
            <w:tcMar>
              <w:top w:w="80" w:type="dxa"/>
              <w:start w:w="120" w:type="dxa"/>
              <w:bottom w:w="80" w:type="dxa"/>
              <w:end w:w="120" w:type="dxa"/>
            </w:tcMar>
            <w:shd w:fill="E8EEF5"/>
            <w:vAlign w:val="center"/>
          </w:tcPr>
          <w:p>
            <w:pPr>
              <w:spacing w:after="0"/>
            </w:pPr>
            <w:r>
              <w:rPr>
                <w:b/>
                <w:color w:val="0B2545"/>
                <w:sz w:val="18"/>
              </w:rPr>
              <w:t>Need / concern</w:t>
            </w:r>
          </w:p>
        </w:tc>
        <w:tc>
          <w:tcPr>
            <w:tcW w:type="dxa" w:w="5160"/>
            <w:tcMar>
              <w:top w:w="80" w:type="dxa"/>
              <w:start w:w="120" w:type="dxa"/>
              <w:bottom w:w="80" w:type="dxa"/>
              <w:end w:w="120" w:type="dxa"/>
            </w:tcMar>
            <w:shd w:fill="E8EEF5"/>
            <w:vAlign w:val="center"/>
          </w:tcPr>
          <w:p>
            <w:pPr>
              <w:spacing w:after="0"/>
            </w:pPr>
            <w:r>
              <w:rPr>
                <w:b/>
                <w:color w:val="0B2545"/>
                <w:sz w:val="18"/>
              </w:rPr>
              <w:t>Trade-off &amp; decision</w:t>
            </w:r>
          </w:p>
        </w:tc>
      </w:tr>
      <w:tr>
        <w:tc>
          <w:tcPr>
            <w:tcW w:type="dxa" w:w="1250"/>
            <w:tcMar>
              <w:top w:w="80" w:type="dxa"/>
              <w:start w:w="120" w:type="dxa"/>
              <w:bottom w:w="80" w:type="dxa"/>
              <w:end w:w="120" w:type="dxa"/>
            </w:tcMar>
            <w:vAlign w:val="top"/>
          </w:tcPr>
          <w:p>
            <w:pPr>
              <w:spacing w:after="0"/>
            </w:pPr>
            <w:r>
              <w:rPr>
                <w:sz w:val="17"/>
              </w:rPr>
              <w:t>Customers</w:t>
            </w:r>
          </w:p>
        </w:tc>
        <w:tc>
          <w:tcPr>
            <w:tcW w:type="dxa" w:w="2950"/>
            <w:tcMar>
              <w:top w:w="80" w:type="dxa"/>
              <w:start w:w="120" w:type="dxa"/>
              <w:bottom w:w="80" w:type="dxa"/>
              <w:end w:w="120" w:type="dxa"/>
            </w:tcMar>
            <w:vAlign w:val="top"/>
          </w:tcPr>
          <w:p>
            <w:pPr>
              <w:spacing w:after="0"/>
            </w:pPr>
            <w:r>
              <w:rPr>
                <w:sz w:val="17"/>
              </w:rPr>
              <w:t>Want certainty, choice, and faster recovery when an order fails.</w:t>
            </w:r>
          </w:p>
        </w:tc>
        <w:tc>
          <w:tcPr>
            <w:tcW w:type="dxa" w:w="5160"/>
            <w:tcMar>
              <w:top w:w="80" w:type="dxa"/>
              <w:start w:w="120" w:type="dxa"/>
              <w:bottom w:w="80" w:type="dxa"/>
              <w:end w:w="120" w:type="dxa"/>
            </w:tcMar>
            <w:vAlign w:val="top"/>
          </w:tcPr>
          <w:p>
            <w:pPr>
              <w:spacing w:after="0"/>
            </w:pPr>
            <w:r>
              <w:rPr>
                <w:sz w:val="17"/>
              </w:rPr>
              <w:t>Prioritize transparent order state and refund resolution before delight features.</w:t>
            </w:r>
          </w:p>
        </w:tc>
      </w:tr>
      <w:tr>
        <w:tc>
          <w:tcPr>
            <w:tcW w:type="dxa" w:w="1250"/>
            <w:tcMar>
              <w:top w:w="80" w:type="dxa"/>
              <w:start w:w="120" w:type="dxa"/>
              <w:bottom w:w="80" w:type="dxa"/>
              <w:end w:w="120" w:type="dxa"/>
            </w:tcMar>
            <w:vAlign w:val="top"/>
          </w:tcPr>
          <w:p>
            <w:pPr>
              <w:spacing w:after="0"/>
            </w:pPr>
            <w:r>
              <w:rPr>
                <w:sz w:val="17"/>
              </w:rPr>
              <w:t>Operations</w:t>
            </w:r>
          </w:p>
        </w:tc>
        <w:tc>
          <w:tcPr>
            <w:tcW w:type="dxa" w:w="2950"/>
            <w:tcMar>
              <w:top w:w="80" w:type="dxa"/>
              <w:start w:w="120" w:type="dxa"/>
              <w:bottom w:w="80" w:type="dxa"/>
              <w:end w:w="120" w:type="dxa"/>
            </w:tcMar>
            <w:vAlign w:val="top"/>
          </w:tcPr>
          <w:p>
            <w:pPr>
              <w:spacing w:after="0"/>
            </w:pPr>
            <w:r>
              <w:rPr>
                <w:sz w:val="17"/>
              </w:rPr>
              <w:t>Needs accurate inventory and workable delivery capacity.</w:t>
            </w:r>
          </w:p>
        </w:tc>
        <w:tc>
          <w:tcPr>
            <w:tcW w:type="dxa" w:w="5160"/>
            <w:tcMar>
              <w:top w:w="80" w:type="dxa"/>
              <w:start w:w="120" w:type="dxa"/>
              <w:bottom w:w="80" w:type="dxa"/>
              <w:end w:w="120" w:type="dxa"/>
            </w:tcMar>
            <w:vAlign w:val="top"/>
          </w:tcPr>
          <w:p>
            <w:pPr>
              <w:spacing w:after="0"/>
            </w:pPr>
            <w:r>
              <w:rPr>
                <w:sz w:val="17"/>
              </w:rPr>
              <w:t>Availability badges and slots are gated by data quality and capacity validation.</w:t>
            </w:r>
          </w:p>
        </w:tc>
      </w:tr>
      <w:tr>
        <w:tc>
          <w:tcPr>
            <w:tcW w:type="dxa" w:w="1250"/>
            <w:tcMar>
              <w:top w:w="80" w:type="dxa"/>
              <w:start w:w="120" w:type="dxa"/>
              <w:bottom w:w="80" w:type="dxa"/>
              <w:end w:w="120" w:type="dxa"/>
            </w:tcMar>
            <w:vAlign w:val="top"/>
          </w:tcPr>
          <w:p>
            <w:pPr>
              <w:spacing w:after="0"/>
            </w:pPr>
            <w:r>
              <w:rPr>
                <w:sz w:val="17"/>
              </w:rPr>
              <w:t>Support</w:t>
            </w:r>
          </w:p>
        </w:tc>
        <w:tc>
          <w:tcPr>
            <w:tcW w:type="dxa" w:w="2950"/>
            <w:tcMar>
              <w:top w:w="80" w:type="dxa"/>
              <w:start w:w="120" w:type="dxa"/>
              <w:bottom w:w="80" w:type="dxa"/>
              <w:end w:w="120" w:type="dxa"/>
            </w:tcMar>
            <w:vAlign w:val="top"/>
          </w:tcPr>
          <w:p>
            <w:pPr>
              <w:spacing w:after="0"/>
            </w:pPr>
            <w:r>
              <w:rPr>
                <w:sz w:val="17"/>
              </w:rPr>
              <w:t>Needs lower contact volume without hiding customers from help.</w:t>
            </w:r>
          </w:p>
        </w:tc>
        <w:tc>
          <w:tcPr>
            <w:tcW w:type="dxa" w:w="5160"/>
            <w:tcMar>
              <w:top w:w="80" w:type="dxa"/>
              <w:start w:w="120" w:type="dxa"/>
              <w:bottom w:w="80" w:type="dxa"/>
              <w:end w:w="120" w:type="dxa"/>
            </w:tcMar>
            <w:vAlign w:val="top"/>
          </w:tcPr>
          <w:p>
            <w:pPr>
              <w:spacing w:after="0"/>
            </w:pPr>
            <w:r>
              <w:rPr>
                <w:sz w:val="17"/>
              </w:rPr>
              <w:t>Ship self-service refunds before scaling live chat; retain escalation paths.</w:t>
            </w:r>
          </w:p>
        </w:tc>
      </w:tr>
      <w:tr>
        <w:tc>
          <w:tcPr>
            <w:tcW w:type="dxa" w:w="1250"/>
            <w:tcMar>
              <w:top w:w="80" w:type="dxa"/>
              <w:start w:w="120" w:type="dxa"/>
              <w:bottom w:w="80" w:type="dxa"/>
              <w:end w:w="120" w:type="dxa"/>
            </w:tcMar>
            <w:vAlign w:val="top"/>
          </w:tcPr>
          <w:p>
            <w:pPr>
              <w:spacing w:after="0"/>
            </w:pPr>
            <w:r>
              <w:rPr>
                <w:sz w:val="17"/>
              </w:rPr>
              <w:t>Finance</w:t>
            </w:r>
          </w:p>
        </w:tc>
        <w:tc>
          <w:tcPr>
            <w:tcW w:type="dxa" w:w="2950"/>
            <w:tcMar>
              <w:top w:w="80" w:type="dxa"/>
              <w:start w:w="120" w:type="dxa"/>
              <w:bottom w:w="80" w:type="dxa"/>
              <w:end w:w="120" w:type="dxa"/>
            </w:tcMar>
            <w:vAlign w:val="top"/>
          </w:tcPr>
          <w:p>
            <w:pPr>
              <w:spacing w:after="0"/>
            </w:pPr>
            <w:r>
              <w:rPr>
                <w:sz w:val="17"/>
              </w:rPr>
              <w:t>Wants growth without margin erosion.</w:t>
            </w:r>
          </w:p>
        </w:tc>
        <w:tc>
          <w:tcPr>
            <w:tcW w:type="dxa" w:w="5160"/>
            <w:tcMar>
              <w:top w:w="80" w:type="dxa"/>
              <w:start w:w="120" w:type="dxa"/>
              <w:bottom w:w="80" w:type="dxa"/>
              <w:end w:w="120" w:type="dxa"/>
            </w:tcMar>
            <w:vAlign w:val="top"/>
          </w:tcPr>
          <w:p>
            <w:pPr>
              <w:spacing w:after="0"/>
            </w:pPr>
            <w:r>
              <w:rPr>
                <w:sz w:val="17"/>
              </w:rPr>
              <w:t>Treat delivery pass as an experiment with contribution-margin guardrails, not a Q1 commitment.</w:t>
            </w:r>
          </w:p>
        </w:tc>
      </w:tr>
      <w:tr>
        <w:tc>
          <w:tcPr>
            <w:tcW w:type="dxa" w:w="1250"/>
            <w:tcMar>
              <w:top w:w="80" w:type="dxa"/>
              <w:start w:w="120" w:type="dxa"/>
              <w:bottom w:w="80" w:type="dxa"/>
              <w:end w:w="120" w:type="dxa"/>
            </w:tcMar>
            <w:vAlign w:val="top"/>
          </w:tcPr>
          <w:p>
            <w:pPr>
              <w:spacing w:after="0"/>
            </w:pPr>
            <w:r>
              <w:rPr>
                <w:sz w:val="17"/>
              </w:rPr>
              <w:t>Engineering &amp; data</w:t>
            </w:r>
          </w:p>
        </w:tc>
        <w:tc>
          <w:tcPr>
            <w:tcW w:type="dxa" w:w="2950"/>
            <w:tcMar>
              <w:top w:w="80" w:type="dxa"/>
              <w:start w:w="120" w:type="dxa"/>
              <w:bottom w:w="80" w:type="dxa"/>
              <w:end w:w="120" w:type="dxa"/>
            </w:tcMar>
            <w:vAlign w:val="top"/>
          </w:tcPr>
          <w:p>
            <w:pPr>
              <w:spacing w:after="0"/>
            </w:pPr>
            <w:r>
              <w:rPr>
                <w:sz w:val="17"/>
              </w:rPr>
              <w:t>Needs a sustainable sequencing of platform work.</w:t>
            </w:r>
          </w:p>
        </w:tc>
        <w:tc>
          <w:tcPr>
            <w:tcW w:type="dxa" w:w="5160"/>
            <w:tcMar>
              <w:top w:w="80" w:type="dxa"/>
              <w:start w:w="120" w:type="dxa"/>
              <w:bottom w:w="80" w:type="dxa"/>
              <w:end w:w="120" w:type="dxa"/>
            </w:tcMar>
            <w:vAlign w:val="top"/>
          </w:tcPr>
          <w:p>
            <w:pPr>
              <w:spacing w:after="0"/>
            </w:pPr>
            <w:r>
              <w:rPr>
                <w:sz w:val="17"/>
              </w:rPr>
              <w:t>Instrument courier events and inventory quality early; defer ML-heavy replenishment until data is trustworthy.</w:t>
            </w:r>
          </w:p>
        </w:tc>
      </w:tr>
    </w:tbl>
    <w:p>
      <w:pPr>
        <w:spacing w:after="40"/>
      </w:pPr>
    </w:p>
    <w:p>
      <w:r>
        <w:t>The central trade-off is speed of visible feature delivery versus reliability of the core flow. I chose reliability. A loyalty program may be more marketable, but it cannot compensate for an order that feels uncertain or incomplete.</w:t>
      </w:r>
    </w:p>
    <w:p>
      <w:pPr>
        <w:pStyle w:val="Heading1"/>
      </w:pPr>
      <w:r>
        <w:t>6. KPI framework &amp; measurement plan</w:t>
      </w:r>
    </w:p>
    <w:tbl>
      <w:tblPr>
        <w:tblW w:type="auto" w:w="0"/>
        <w:jc w:val="left"/>
        <w:tblLayout w:type="fixed"/>
        <w:tblLook w:firstColumn="1" w:firstRow="1" w:lastColumn="0" w:lastRow="0" w:noHBand="0" w:noVBand="1" w:val="04A0"/>
        <w:tblBorders>
          <w:top w:val="single" w:sz="4" w:color="D7DEE7"/>
          <w:left w:val="single" w:sz="4" w:color="D7DEE7"/>
          <w:bottom w:val="single" w:sz="4" w:color="D7DEE7"/>
          <w:right w:val="single" w:sz="4" w:color="D7DEE7"/>
          <w:insideH w:val="single" w:sz="4" w:color="D7DEE7"/>
          <w:insideV w:val="single" w:sz="4" w:color="D7DEE7"/>
        </w:tblBorders>
      </w:tblPr>
      <w:tblGrid>
        <w:gridCol w:w="2484"/>
        <w:gridCol w:w="2484"/>
        <w:gridCol w:w="2484"/>
        <w:gridCol w:w="2484"/>
      </w:tblGrid>
      <w:tr>
        <w:tc>
          <w:tcPr>
            <w:tcW w:type="dxa" w:w="1450"/>
            <w:tcMar>
              <w:top w:w="80" w:type="dxa"/>
              <w:start w:w="120" w:type="dxa"/>
              <w:bottom w:w="80" w:type="dxa"/>
              <w:end w:w="120" w:type="dxa"/>
            </w:tcMar>
            <w:shd w:fill="E8EEF5"/>
            <w:vAlign w:val="center"/>
          </w:tcPr>
          <w:p>
            <w:pPr>
              <w:spacing w:after="0"/>
            </w:pPr>
            <w:r>
              <w:rPr>
                <w:b/>
                <w:color w:val="0B2545"/>
                <w:sz w:val="18"/>
              </w:rPr>
              <w:t>KPI</w:t>
            </w:r>
          </w:p>
        </w:tc>
        <w:tc>
          <w:tcPr>
            <w:tcW w:type="dxa" w:w="2500"/>
            <w:tcMar>
              <w:top w:w="80" w:type="dxa"/>
              <w:start w:w="120" w:type="dxa"/>
              <w:bottom w:w="80" w:type="dxa"/>
              <w:end w:w="120" w:type="dxa"/>
            </w:tcMar>
            <w:shd w:fill="E8EEF5"/>
            <w:vAlign w:val="center"/>
          </w:tcPr>
          <w:p>
            <w:pPr>
              <w:spacing w:after="0"/>
            </w:pPr>
            <w:r>
              <w:rPr>
                <w:b/>
                <w:color w:val="0B2545"/>
                <w:sz w:val="18"/>
              </w:rPr>
              <w:t>Why it matters</w:t>
            </w:r>
          </w:p>
        </w:tc>
        <w:tc>
          <w:tcPr>
            <w:tcW w:type="dxa" w:w="3250"/>
            <w:tcMar>
              <w:top w:w="80" w:type="dxa"/>
              <w:start w:w="120" w:type="dxa"/>
              <w:bottom w:w="80" w:type="dxa"/>
              <w:end w:w="120" w:type="dxa"/>
            </w:tcMar>
            <w:shd w:fill="E8EEF5"/>
            <w:vAlign w:val="center"/>
          </w:tcPr>
          <w:p>
            <w:pPr>
              <w:spacing w:after="0"/>
            </w:pPr>
            <w:r>
              <w:rPr>
                <w:b/>
                <w:color w:val="0B2545"/>
                <w:sz w:val="18"/>
              </w:rPr>
              <w:t>Measurement approach</w:t>
            </w:r>
          </w:p>
        </w:tc>
        <w:tc>
          <w:tcPr>
            <w:tcW w:type="dxa" w:w="2160"/>
            <w:tcMar>
              <w:top w:w="80" w:type="dxa"/>
              <w:start w:w="120" w:type="dxa"/>
              <w:bottom w:w="80" w:type="dxa"/>
              <w:end w:w="120" w:type="dxa"/>
            </w:tcMar>
            <w:shd w:fill="E8EEF5"/>
            <w:vAlign w:val="center"/>
          </w:tcPr>
          <w:p>
            <w:pPr>
              <w:spacing w:after="0"/>
            </w:pPr>
            <w:r>
              <w:rPr>
                <w:b/>
                <w:color w:val="0B2545"/>
                <w:sz w:val="18"/>
              </w:rPr>
              <w:t>Guardrail</w:t>
            </w:r>
          </w:p>
        </w:tc>
      </w:tr>
      <w:tr>
        <w:tc>
          <w:tcPr>
            <w:tcW w:type="dxa" w:w="1450"/>
            <w:tcMar>
              <w:top w:w="80" w:type="dxa"/>
              <w:start w:w="120" w:type="dxa"/>
              <w:bottom w:w="80" w:type="dxa"/>
              <w:end w:w="120" w:type="dxa"/>
            </w:tcMar>
            <w:vAlign w:val="top"/>
          </w:tcPr>
          <w:p>
            <w:pPr>
              <w:spacing w:after="0"/>
            </w:pPr>
            <w:r>
              <w:rPr>
                <w:sz w:val="17"/>
              </w:rPr>
              <w:t>Order contact rate</w:t>
            </w:r>
          </w:p>
        </w:tc>
        <w:tc>
          <w:tcPr>
            <w:tcW w:type="dxa" w:w="2500"/>
            <w:tcMar>
              <w:top w:w="80" w:type="dxa"/>
              <w:start w:w="120" w:type="dxa"/>
              <w:bottom w:w="80" w:type="dxa"/>
              <w:end w:w="120" w:type="dxa"/>
            </w:tcMar>
            <w:vAlign w:val="top"/>
          </w:tcPr>
          <w:p>
            <w:pPr>
              <w:spacing w:after="0"/>
            </w:pPr>
            <w:r>
              <w:rPr>
                <w:sz w:val="17"/>
              </w:rPr>
              <w:t>Signals uncertainty and unresolved failures.</w:t>
            </w:r>
          </w:p>
        </w:tc>
        <w:tc>
          <w:tcPr>
            <w:tcW w:type="dxa" w:w="3250"/>
            <w:tcMar>
              <w:top w:w="80" w:type="dxa"/>
              <w:start w:w="120" w:type="dxa"/>
              <w:bottom w:w="80" w:type="dxa"/>
              <w:end w:w="120" w:type="dxa"/>
            </w:tcMar>
            <w:vAlign w:val="top"/>
          </w:tcPr>
          <w:p>
            <w:pPr>
              <w:spacing w:after="0"/>
            </w:pPr>
            <w:r>
              <w:rPr>
                <w:sz w:val="17"/>
              </w:rPr>
              <w:t>Contacts per completed order, segmented by issue type.</w:t>
            </w:r>
          </w:p>
        </w:tc>
        <w:tc>
          <w:tcPr>
            <w:tcW w:type="dxa" w:w="2160"/>
            <w:tcMar>
              <w:top w:w="80" w:type="dxa"/>
              <w:start w:w="120" w:type="dxa"/>
              <w:bottom w:w="80" w:type="dxa"/>
              <w:end w:w="120" w:type="dxa"/>
            </w:tcMar>
            <w:vAlign w:val="top"/>
          </w:tcPr>
          <w:p>
            <w:pPr>
              <w:spacing w:after="0"/>
            </w:pPr>
            <w:r>
              <w:rPr>
                <w:sz w:val="17"/>
              </w:rPr>
              <w:t>Do not suppress legitimate escalation paths.</w:t>
            </w:r>
          </w:p>
        </w:tc>
      </w:tr>
      <w:tr>
        <w:tc>
          <w:tcPr>
            <w:tcW w:type="dxa" w:w="1450"/>
            <w:tcMar>
              <w:top w:w="80" w:type="dxa"/>
              <w:start w:w="120" w:type="dxa"/>
              <w:bottom w:w="80" w:type="dxa"/>
              <w:end w:w="120" w:type="dxa"/>
            </w:tcMar>
            <w:vAlign w:val="top"/>
          </w:tcPr>
          <w:p>
            <w:pPr>
              <w:spacing w:after="0"/>
            </w:pPr>
            <w:r>
              <w:rPr>
                <w:sz w:val="17"/>
              </w:rPr>
              <w:t>Repeat purchase rate</w:t>
            </w:r>
          </w:p>
        </w:tc>
        <w:tc>
          <w:tcPr>
            <w:tcW w:type="dxa" w:w="2500"/>
            <w:tcMar>
              <w:top w:w="80" w:type="dxa"/>
              <w:start w:w="120" w:type="dxa"/>
              <w:bottom w:w="80" w:type="dxa"/>
              <w:end w:w="120" w:type="dxa"/>
            </w:tcMar>
            <w:vAlign w:val="top"/>
          </w:tcPr>
          <w:p>
            <w:pPr>
              <w:spacing w:after="0"/>
            </w:pPr>
            <w:r>
              <w:rPr>
                <w:sz w:val="17"/>
              </w:rPr>
              <w:t>Tests whether convenience and trust improve return behavior.</w:t>
            </w:r>
          </w:p>
        </w:tc>
        <w:tc>
          <w:tcPr>
            <w:tcW w:type="dxa" w:w="3250"/>
            <w:tcMar>
              <w:top w:w="80" w:type="dxa"/>
              <w:start w:w="120" w:type="dxa"/>
              <w:bottom w:w="80" w:type="dxa"/>
              <w:end w:w="120" w:type="dxa"/>
            </w:tcMar>
            <w:vAlign w:val="top"/>
          </w:tcPr>
          <w:p>
            <w:pPr>
              <w:spacing w:after="0"/>
            </w:pPr>
            <w:r>
              <w:rPr>
                <w:sz w:val="17"/>
              </w:rPr>
              <w:t>Cohort repurchase within a consistent window.</w:t>
            </w:r>
          </w:p>
        </w:tc>
        <w:tc>
          <w:tcPr>
            <w:tcW w:type="dxa" w:w="2160"/>
            <w:tcMar>
              <w:top w:w="80" w:type="dxa"/>
              <w:start w:w="120" w:type="dxa"/>
              <w:bottom w:w="80" w:type="dxa"/>
              <w:end w:w="120" w:type="dxa"/>
            </w:tcMar>
            <w:vAlign w:val="top"/>
          </w:tcPr>
          <w:p>
            <w:pPr>
              <w:spacing w:after="0"/>
            </w:pPr>
            <w:r>
              <w:rPr>
                <w:sz w:val="17"/>
              </w:rPr>
              <w:t>Control for seasonality and promotions.</w:t>
            </w:r>
          </w:p>
        </w:tc>
      </w:tr>
      <w:tr>
        <w:tc>
          <w:tcPr>
            <w:tcW w:type="dxa" w:w="1450"/>
            <w:tcMar>
              <w:top w:w="80" w:type="dxa"/>
              <w:start w:w="120" w:type="dxa"/>
              <w:bottom w:w="80" w:type="dxa"/>
              <w:end w:w="120" w:type="dxa"/>
            </w:tcMar>
            <w:vAlign w:val="top"/>
          </w:tcPr>
          <w:p>
            <w:pPr>
              <w:spacing w:after="0"/>
            </w:pPr>
            <w:r>
              <w:rPr>
                <w:sz w:val="17"/>
              </w:rPr>
              <w:t>Substitution acceptance</w:t>
            </w:r>
          </w:p>
        </w:tc>
        <w:tc>
          <w:tcPr>
            <w:tcW w:type="dxa" w:w="2500"/>
            <w:tcMar>
              <w:top w:w="80" w:type="dxa"/>
              <w:start w:w="120" w:type="dxa"/>
              <w:bottom w:w="80" w:type="dxa"/>
              <w:end w:w="120" w:type="dxa"/>
            </w:tcMar>
            <w:vAlign w:val="top"/>
          </w:tcPr>
          <w:p>
            <w:pPr>
              <w:spacing w:after="0"/>
            </w:pPr>
            <w:r>
              <w:rPr>
                <w:sz w:val="17"/>
              </w:rPr>
              <w:t>Measures whether preference controls improve fulfillment quality.</w:t>
            </w:r>
          </w:p>
        </w:tc>
        <w:tc>
          <w:tcPr>
            <w:tcW w:type="dxa" w:w="3250"/>
            <w:tcMar>
              <w:top w:w="80" w:type="dxa"/>
              <w:start w:w="120" w:type="dxa"/>
              <w:bottom w:w="80" w:type="dxa"/>
              <w:end w:w="120" w:type="dxa"/>
            </w:tcMar>
            <w:vAlign w:val="top"/>
          </w:tcPr>
          <w:p>
            <w:pPr>
              <w:spacing w:after="0"/>
            </w:pPr>
            <w:r>
              <w:rPr>
                <w:sz w:val="17"/>
              </w:rPr>
              <w:t>Accepted substitutions ÷ proposed substitutions.</w:t>
            </w:r>
          </w:p>
        </w:tc>
        <w:tc>
          <w:tcPr>
            <w:tcW w:type="dxa" w:w="2160"/>
            <w:tcMar>
              <w:top w:w="80" w:type="dxa"/>
              <w:start w:w="120" w:type="dxa"/>
              <w:bottom w:w="80" w:type="dxa"/>
              <w:end w:w="120" w:type="dxa"/>
            </w:tcMar>
            <w:vAlign w:val="top"/>
          </w:tcPr>
          <w:p>
            <w:pPr>
              <w:spacing w:after="0"/>
            </w:pPr>
            <w:r>
              <w:rPr>
                <w:sz w:val="17"/>
              </w:rPr>
              <w:t>Monitor item-level availability bias.</w:t>
            </w:r>
          </w:p>
        </w:tc>
      </w:tr>
      <w:tr>
        <w:tc>
          <w:tcPr>
            <w:tcW w:type="dxa" w:w="1450"/>
            <w:tcMar>
              <w:top w:w="80" w:type="dxa"/>
              <w:start w:w="120" w:type="dxa"/>
              <w:bottom w:w="80" w:type="dxa"/>
              <w:end w:w="120" w:type="dxa"/>
            </w:tcMar>
            <w:vAlign w:val="top"/>
          </w:tcPr>
          <w:p>
            <w:pPr>
              <w:spacing w:after="0"/>
            </w:pPr>
            <w:r>
              <w:rPr>
                <w:sz w:val="17"/>
              </w:rPr>
              <w:t>On-time delivery</w:t>
            </w:r>
          </w:p>
        </w:tc>
        <w:tc>
          <w:tcPr>
            <w:tcW w:type="dxa" w:w="2500"/>
            <w:tcMar>
              <w:top w:w="80" w:type="dxa"/>
              <w:start w:w="120" w:type="dxa"/>
              <w:bottom w:w="80" w:type="dxa"/>
              <w:end w:w="120" w:type="dxa"/>
            </w:tcMar>
            <w:vAlign w:val="top"/>
          </w:tcPr>
          <w:p>
            <w:pPr>
              <w:spacing w:after="0"/>
            </w:pPr>
            <w:r>
              <w:rPr>
                <w:sz w:val="17"/>
              </w:rPr>
              <w:t>Protects the primary service promise.</w:t>
            </w:r>
          </w:p>
        </w:tc>
        <w:tc>
          <w:tcPr>
            <w:tcW w:type="dxa" w:w="3250"/>
            <w:tcMar>
              <w:top w:w="80" w:type="dxa"/>
              <w:start w:w="120" w:type="dxa"/>
              <w:bottom w:w="80" w:type="dxa"/>
              <w:end w:w="120" w:type="dxa"/>
            </w:tcMar>
            <w:vAlign w:val="top"/>
          </w:tcPr>
          <w:p>
            <w:pPr>
              <w:spacing w:after="0"/>
            </w:pPr>
            <w:r>
              <w:rPr>
                <w:sz w:val="17"/>
              </w:rPr>
              <w:t>Completed orders within ETA tolerance.</w:t>
            </w:r>
          </w:p>
        </w:tc>
        <w:tc>
          <w:tcPr>
            <w:tcW w:type="dxa" w:w="2160"/>
            <w:tcMar>
              <w:top w:w="80" w:type="dxa"/>
              <w:start w:w="120" w:type="dxa"/>
              <w:bottom w:w="80" w:type="dxa"/>
              <w:end w:w="120" w:type="dxa"/>
            </w:tcMar>
            <w:vAlign w:val="top"/>
          </w:tcPr>
          <w:p>
            <w:pPr>
              <w:spacing w:after="0"/>
            </w:pPr>
            <w:r>
              <w:rPr>
                <w:sz w:val="17"/>
              </w:rPr>
              <w:t>No deterioration from added scope.</w:t>
            </w:r>
          </w:p>
        </w:tc>
      </w:tr>
      <w:tr>
        <w:tc>
          <w:tcPr>
            <w:tcW w:type="dxa" w:w="1450"/>
            <w:tcMar>
              <w:top w:w="80" w:type="dxa"/>
              <w:start w:w="120" w:type="dxa"/>
              <w:bottom w:w="80" w:type="dxa"/>
              <w:end w:w="120" w:type="dxa"/>
            </w:tcMar>
            <w:vAlign w:val="top"/>
          </w:tcPr>
          <w:p>
            <w:pPr>
              <w:spacing w:after="0"/>
            </w:pPr>
            <w:r>
              <w:rPr>
                <w:sz w:val="17"/>
              </w:rPr>
              <w:t>Contribution margin</w:t>
            </w:r>
          </w:p>
        </w:tc>
        <w:tc>
          <w:tcPr>
            <w:tcW w:type="dxa" w:w="2500"/>
            <w:tcMar>
              <w:top w:w="80" w:type="dxa"/>
              <w:start w:w="120" w:type="dxa"/>
              <w:bottom w:w="80" w:type="dxa"/>
              <w:end w:w="120" w:type="dxa"/>
            </w:tcMar>
            <w:vAlign w:val="top"/>
          </w:tcPr>
          <w:p>
            <w:pPr>
              <w:spacing w:after="0"/>
            </w:pPr>
            <w:r>
              <w:rPr>
                <w:sz w:val="17"/>
              </w:rPr>
              <w:t>Prevents retention experiments from creating uneconomic behavior.</w:t>
            </w:r>
          </w:p>
        </w:tc>
        <w:tc>
          <w:tcPr>
            <w:tcW w:type="dxa" w:w="3250"/>
            <w:tcMar>
              <w:top w:w="80" w:type="dxa"/>
              <w:start w:w="120" w:type="dxa"/>
              <w:bottom w:w="80" w:type="dxa"/>
              <w:end w:w="120" w:type="dxa"/>
            </w:tcMar>
            <w:vAlign w:val="top"/>
          </w:tcPr>
          <w:p>
            <w:pPr>
              <w:spacing w:after="0"/>
            </w:pPr>
            <w:r>
              <w:rPr>
                <w:sz w:val="17"/>
              </w:rPr>
              <w:t>Margin per order / member cohort.</w:t>
            </w:r>
          </w:p>
        </w:tc>
        <w:tc>
          <w:tcPr>
            <w:tcW w:type="dxa" w:w="2160"/>
            <w:tcMar>
              <w:top w:w="80" w:type="dxa"/>
              <w:start w:w="120" w:type="dxa"/>
              <w:bottom w:w="80" w:type="dxa"/>
              <w:end w:w="120" w:type="dxa"/>
            </w:tcMar>
            <w:vAlign w:val="top"/>
          </w:tcPr>
          <w:p>
            <w:pPr>
              <w:spacing w:after="0"/>
            </w:pPr>
            <w:r>
              <w:rPr>
                <w:sz w:val="17"/>
              </w:rPr>
              <w:t>Predefine stop-loss thresholds for delivery pass.</w:t>
            </w:r>
          </w:p>
        </w:tc>
      </w:tr>
    </w:tbl>
    <w:p>
      <w:pPr>
        <w:spacing w:after="40"/>
      </w:pPr>
    </w:p>
    <w:p>
      <w:pPr>
        <w:pStyle w:val="Heading1"/>
      </w:pPr>
      <w:r>
        <w:t>7. Recommendations &amp; next steps</w:t>
      </w:r>
    </w:p>
    <w:p>
      <w:pPr>
        <w:pStyle w:val="ListBullet"/>
        <w:spacing w:after="80"/>
      </w:pPr>
      <w:r>
        <w:t>Validate the Q1 sequence with funnel and support-data analysis before final sprint commitment; confirm that availability and courier events are sufficiently reliable.</w:t>
      </w:r>
    </w:p>
    <w:p>
      <w:pPr>
        <w:pStyle w:val="ListBullet"/>
        <w:spacing w:after="80"/>
      </w:pPr>
      <w:r>
        <w:t>Run moderated usability tests on substitutions, tracking, and reorder before building all edge cases.</w:t>
      </w:r>
    </w:p>
    <w:p>
      <w:pPr>
        <w:pStyle w:val="ListBullet"/>
        <w:spacing w:after="80"/>
      </w:pPr>
      <w:r>
        <w:t>Define baseline KPI values and pre-register success / guardrail thresholds for each Q1 release.</w:t>
      </w:r>
    </w:p>
    <w:p>
      <w:pPr>
        <w:pStyle w:val="ListBullet"/>
        <w:spacing w:after="80"/>
      </w:pPr>
      <w:r>
        <w:t>Use Q3 as an experiment window: measure delivery-pass economics and notification impact before scaling retention features.</w:t>
      </w:r>
    </w:p>
    <w:p>
      <w:pPr>
        <w:pStyle w:val="ListBullet"/>
        <w:spacing w:after="80"/>
      </w:pPr>
      <w:r>
        <w:t>Refresh the RICE model quarterly as real evidence replaces synthetic assumptions.</w:t>
      </w:r>
    </w:p>
    <w:p>
      <w:pPr>
        <w:pStyle w:val="Heading1"/>
      </w:pPr>
      <w:r>
        <w:t>Appendix: How to present this in an interview</w:t>
      </w:r>
    </w:p>
    <w:p>
      <w:r>
        <w:t>A concise portfolio narrative: “I took a quick-commerce product with 18 competing feature requests and created a transparent decision system. RICE identified high-frequency, high-impact trust and repeat-purchase improvements; MoSCoW protected the roadmap from optional scope. I then staged Q3–Q4 as experiments with explicit operational and financial guardrails. If this were a live product, my next step would be replacing synthetic reach and confidence with behavioral, support, and experiment data.”</w:t>
      </w:r>
    </w:p>
    <w:p>
      <w:pPr>
        <w:pStyle w:val="Caption"/>
      </w:pPr>
      <w:r>
        <w:t>Companion deliverable: QuickBasket_Product_Prioritization_Model.xlsx (Dashboard, RICE Backlog, Quarterly Roadmap, and Assumptions).</w:t>
      </w:r>
    </w:p>
    <w:sectPr w:rsidR="00FC693F" w:rsidRPr="0006063C" w:rsidSect="00034616">
      <w:headerReference w:type="default" r:id="rId9"/>
      <w:footerReference w:type="default" r:id="rId10"/>
      <w:pgSz w:w="12240" w:h="15840"/>
      <w:pgMar w:top="1152" w:right="1152" w:bottom="1080" w:left="1152"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77A"/>
        <w:sz w:val="16"/>
      </w:rPr>
      <w:t>Synthetic portfolio case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77A"/>
        <w:sz w:val="16"/>
      </w:rPr>
      <w:t>QUICKBASKET  /  PRODUCT MANAGEMENT PORTFOLIO CASE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