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CLIENT COMMUNICATION / DISPUTE NOTICE</w:t>
      </w:r>
    </w:p>
    <w:p>
      <w:r>
        <w:rPr>
          <w:b/>
        </w:rPr>
        <w:t xml:space="preserve">From: </w:t>
      </w:r>
      <w:r>
        <w:t>Rajesh Mehta &lt;rajesh@orioninteriors.com&gt;</w:t>
        <w:br/>
      </w:r>
      <w:r>
        <w:rPr>
          <w:b/>
        </w:rPr>
        <w:t xml:space="preserve">To: </w:t>
      </w:r>
      <w:r>
        <w:t>Vikram Sharma &lt;vikram@northwindsupplies.com&gt;</w:t>
        <w:br/>
      </w:r>
      <w:r>
        <w:rPr>
          <w:b/>
        </w:rPr>
        <w:t xml:space="preserve">Date: </w:t>
      </w:r>
      <w:r>
        <w:t>02 Mar 2026, 11:20 IST</w:t>
        <w:br/>
      </w:r>
      <w:r>
        <w:rPr>
          <w:b/>
        </w:rPr>
        <w:t xml:space="preserve">Subject: </w:t>
      </w:r>
      <w:r>
        <w:t>DISPUTE: Delayed Delivery &amp; Damaged Desks - OS-NW-2026-004</w:t>
        <w:br/>
      </w:r>
    </w:p>
    <w:p>
      <w:pPr>
        <w:pStyle w:val="Heading2"/>
      </w:pPr>
      <w:r>
        <w:t>Formal Notice of Breach</w:t>
      </w:r>
    </w:p>
    <w:p>
      <w:r>
        <w:t>Dear Vikram,</w:t>
        <w:br/>
        <w:br/>
        <w:t>We strongly object to your characterization that delivery happened on 20 Feb. In reality, your truck arrived without unloading personnel and goods were actually received on 28 Feb 2026 at our central facility.</w:t>
        <w:br/>
        <w:br/>
        <w:t>Furthermore, upon opening the crates on 1 March, our inspection team found severe scratches on 8 executive conference desks and torn fabric on 4 task chairs. The goods are significantly damaged.</w:t>
        <w:br/>
        <w:br/>
        <w:t>Under Clause 3.1 of our signed Contract (10 Jan 2026), delivery was due by 15 Feb 2026. Because delivery occurred on 28 Feb 2026, Orion Interiors is enforcing the late penalty of 1% per week on the order value. Additionally, we require immediate rectification of the damaged furniture before any further balance is released.</w:t>
        <w:br/>
        <w:br/>
        <w:t>Sincerely,</w:t>
        <w:br/>
        <w:t>Rajesh Mehta</w:t>
        <w:br/>
        <w:t>Managing Director, Orion Interiors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