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6B7C93"/>
          <w:spacing w:val="40"/>
          <w:sz w:val="20"/>
          <w:szCs w:val="20"/>
        </w:rPr>
        <w:t xml:space="preserve">PRODUCT REQUIREMENTS DOCUMENT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Credit Card Fraud Detection System</w:t>
      </w:r>
    </w:p>
    <w:p>
      <w:pPr>
        <w:spacing w:after="24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Hybrid anomaly detection (XGBoost + Isolation Forest/Autoencoder) with SHAP explainability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206"/>
      </w:tblGrid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72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Vivek Yadav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/ Status</w:t>
            </w:r>
          </w:p>
        </w:tc>
        <w:tc>
          <w:tcPr>
            <w:tcW w:type="dxa" w:w="72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v1.0 – Draft for review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2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72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B.Tech CSE (AI/ML) minor/major project – prototype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submission</w:t>
            </w:r>
          </w:p>
        </w:tc>
        <w:tc>
          <w:tcPr>
            <w:tcW w:type="dxa" w:w="72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 October 2026 (aim to be submission-ready by 30 October)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72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Credit Card Fraud Detection Report (design) and 5-sprint build plan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document defines what the Credit Card Fraud Detection System must do, who it serves, and how success will be measured. It turns the project report into a build-ready specification for the 5-sprint plan running from 30 September to 31 October 2026.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1.1 Problem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Credit card fraud causes large losses every year and its patterns change faster than a static rule engine can be updated. Rule-based engines are easy to reverse-engineer and produce many false positives. A purely supervised model only recognises fraud it has seen labelled. Fraud is adversarial, so a useful system must catch known attack signatures and also flag transactions that are statistically abnormal, even when no past label matches.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1.2 Product vision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real-time scoring service that is accurate on known fraud, sensitive to unseen anomalies, explainable to a human reviewer, and fast enough to run inline at checkout. Every alert reaches a fraud analyst with a plain-language reason, and the analyst’s decision feeds future retraining.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1.3 Goals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Build a hybrid detection pipeline that combines a supervised classifier with an unsupervised anomaly layer.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Score transactions in near real time, with a target of p95 end-to-end latency under 200 ms.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Provide a per-alert explanation (SHAP) for every flagged transaction.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Give analysts a dashboard to triage, review and resolve alerts, with outcomes logged for retraining.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Prove the hybrid claim experimentally: the hybrid must beat XGBoost alone on a fraud type held out from training.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1.4 Non-goals (Phase 1)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Integration with a real bank, card network or payment gateway. All data is public or synthetic.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Production-grade security, PCI-DSS compliance, multi-tenancy or authentication beyond a basic analyst login.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Graph-based fraud-ring detection, online/incremental learning and automatic ensemble re-weighting (see Future Scope).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Horizontal scaling beyond a single Docker Compose deployment.</w:t>
      </w:r>
    </w:p>
    <w:p>
      <w:pPr>
        <w:pStyle w:val="Heading1"/>
        <w:pBdr>
          <w:bottom w:val="single" w:color="1F3A5F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2. Users and Use Cases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706"/>
      </w:tblGrid>
      <w:tr>
        <w:trPr>
          <w:tblHeader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Needs</w:t>
            </w:r>
          </w:p>
        </w:tc>
        <w:tc>
          <w:tcPr>
            <w:tcW w:type="dxa" w:w="3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looks like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Fraud analyst (primary)</w:t>
            </w:r>
          </w:p>
        </w:tc>
        <w:tc>
          <w:tcPr>
            <w:tcW w:type="dxa" w:w="3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prioritised queue of suspicious transactions, a clear reason for each, and one-click resolution.</w:t>
            </w:r>
          </w:p>
        </w:tc>
        <w:tc>
          <w:tcPr>
            <w:tcW w:type="dxa" w:w="3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Resolves an alert in under a minute using the SHAP explanation, without opening raw logs.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ML engineer / maintainer</w:t>
            </w:r>
          </w:p>
        </w:tc>
        <w:tc>
          <w:tcPr>
            <w:tcW w:type="dxa" w:w="3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Versioned models, reproducible training, drift signals and labelled feedback data.</w:t>
            </w:r>
          </w:p>
        </w:tc>
        <w:tc>
          <w:tcPr>
            <w:tcW w:type="dxa" w:w="3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Retrains from analyst labels and rolls out a new model version without code changes.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 / cardholder (indirect)</w:t>
            </w:r>
          </w:p>
        </w:tc>
        <w:tc>
          <w:tcPr>
            <w:tcW w:type="dxa" w:w="3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Genuine purchases approved instantly; fraud stopped.</w:t>
            </w:r>
          </w:p>
        </w:tc>
        <w:tc>
          <w:tcPr>
            <w:tcW w:type="dxa" w:w="3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 false-positive rate; no checkout delay.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examiner</w:t>
            </w:r>
          </w:p>
        </w:tc>
        <w:tc>
          <w:tcPr>
            <w:tcW w:type="dxa" w:w="3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Evidence that design choices are justified and results are honest.</w:t>
            </w:r>
          </w:p>
        </w:tc>
        <w:tc>
          <w:tcPr>
            <w:tcW w:type="dxa" w:w="3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Sees ablation table, held-out experiment, latency measurement and stated limitations.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2.1 User stories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As an analyst, I see open alerts sorted by risk so I review the most dangerous first.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As an analyst, I open a case and see which features drove the alert (e.g. unusual location plus high amount) in a SHAP bar chart.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As an analyst, I mark an alert as confirmed fraud or false positive, and the decision is stored with my ID and timestamp.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As an ML engineer, I retrain the model on analyst-labelled alerts and register a new model version.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As an ML engineer, I replay a dataset through Redis Streams to test the pipeline end to end.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As an examiner, I run one command and see the system working with a demo dataset.</w:t>
      </w:r>
    </w:p>
    <w:p>
      <w:pPr>
        <w:pStyle w:val="Heading1"/>
        <w:pBdr>
          <w:bottom w:val="single" w:color="1F3A5F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3. Functional Requirements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Priority: P0 = must ship for the demo, P1 = should ship, P2 = stretch goal.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3.1 Ingestion and features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706"/>
      </w:tblGrid>
      <w:tr>
        <w:trPr>
          <w:tblHeader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Transactions from POS, app and web channels are published to a Redis Stream and consumed by the scoring service through a consumer group (XREADGROUP, XACK).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FR-2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Delivery is at-least-once. All database writes are idempotent (unique transaction ID with ON CONFLICT DO NOTHING) so replays never create duplicate alerts.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FR-3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single shared feature module is used for both training and serving to avoid train/serve skew.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FR-4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Features are computed point-in-time, using only past data: velocity (count and amount per card over 1h/24h/7d), amount z-score against the card’s own history, haversine distance from home location and from the previous transaction, implied travel speed, and time-of-day deviation.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FR-5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Online velocity lookups use Redis sorted sets or hashes for O(1) access.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FR-6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Merchant-category novelty and device/IP novelty features are added where the dataset provides the fields (IEEE-CIS).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3.2 Detection and decisioning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706"/>
      </w:tblGrid>
      <w:tr>
        <w:trPr>
          <w:tblHeader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FR-7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supervised XGBoost classifier scores each transaction. Class imbalance is handled with scale_pos_weight; any oversampling is applied to training folds only. Probabilities are calibrated.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FR-8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unsupervised Isolation Forest, trained mostly on legitimate transactions using behavioural features (not raw IDs), produces an anomaly score for every transaction.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FR-9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system supports a stacked variant in which the anomaly score is an input feature to XGBoost, alongside a simple OR-fusion baseline, so the two can be compared.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FR-10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transaction receives one of three decisions: approve, send to review, or block. Block on high XGBoost probability; review on mid-range probability or a high anomaly score. Thresholds come from a cost matrix (cost of missed fraud vs. cost of a false positive) and analyst capacity, not a fixed 0.5.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FR-11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autoencoder (reconstruction error on legitimate data, threshold at a high validation percentile) is available as an alternative unsupervised layer.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FR-12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model version is stored with a version identifier (joblib artefact plus a model_version column on each score and alert).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3.3 Explainability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706"/>
      </w:tblGrid>
      <w:tr>
        <w:trPr>
          <w:tblHeader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FR-13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 each flagged transaction, SHAP TreeExplainer produces per-feature contributions for the XGBoost score.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FR-14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SHAP is computed asynchronously and only for flagged transactions, so it does not count against the 200 ms scoring budget.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FR-15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Alerts raised only by the unsupervised layer are explained separately (per-feature deviation or SHAP for Isolation Forest), because SHAP on the XGBoost output cannot explain them.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3.4 Scoring API and storage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506"/>
      </w:tblGrid>
      <w:tr>
        <w:trPr>
          <w:tblHeader/>
        </w:trPr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5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/score</w:t>
            </w:r>
          </w:p>
        </w:tc>
        <w:tc>
          <w:tcPr>
            <w:tcW w:type="dxa" w:w="55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Score one transaction synchronously; returns risk score, anomaly score, decision and model_version.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/alerts</w:t>
            </w:r>
          </w:p>
        </w:tc>
        <w:tc>
          <w:tcPr>
            <w:tcW w:type="dxa" w:w="55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 alerts with filters (status, risk band, date range) and sorting.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/alerts/{id}</w:t>
            </w:r>
          </w:p>
        </w:tc>
        <w:tc>
          <w:tcPr>
            <w:tcW w:type="dxa" w:w="55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detail including transaction, scores and SHAP contributions.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/alerts/{id}</w:t>
            </w:r>
          </w:p>
        </w:tc>
        <w:tc>
          <w:tcPr>
            <w:tcW w:type="dxa" w:w="55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Analyst decision: confirmed_fraud or false_positive, written to the audit log.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/retrain</w:t>
            </w:r>
          </w:p>
        </w:tc>
        <w:tc>
          <w:tcPr>
            <w:tcW w:type="dxa" w:w="55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Trigger a simple retrain from analyst-labelled alerts and register a new model version.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/health</w:t>
            </w:r>
          </w:p>
        </w:tc>
        <w:tc>
          <w:tcPr>
            <w:tcW w:type="dxa" w:w="55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Liveness check for Docker Compose and load tests.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1: Proposed API surface (FastAPI, OpenAPI docs generated automatically)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FR-16 (P0): </w:t>
      </w:r>
      <w:r>
        <w:rPr>
          <w:rFonts w:ascii="Arial" w:cs="Arial" w:eastAsia="Arial" w:hAnsi="Arial"/>
          <w:sz w:val="21"/>
          <w:szCs w:val="21"/>
        </w:rPr>
        <w:t xml:space="preserve">All transactions, alerts, model versions and analyst actions are persisted in PostgreSQL.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FR-17 (P0): </w:t>
      </w:r>
      <w:r>
        <w:rPr>
          <w:rFonts w:ascii="Arial" w:cs="Arial" w:eastAsia="Arial" w:hAnsi="Arial"/>
          <w:sz w:val="21"/>
          <w:szCs w:val="21"/>
        </w:rPr>
        <w:t xml:space="preserve">Every state-changing action on a transaction or alert is written to an audit log with actor, action and timestamp.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3.5 Analyst dashboard (React)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706"/>
      </w:tblGrid>
      <w:tr>
        <w:trPr>
          <w:tblHeader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FR-18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table with status, risk score, amount, merchant, time; supports filtering and sorting.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FR-19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Case view showing transaction details, both model scores and a SHAP bar chart of the top contributing features.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FR-20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fraud and False positive buttons that update the alert and log the analyst decision.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FR-21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Summary panel: open alerts, alerts by decision tier, and recent false-positive rate.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FR-22</w:t>
            </w:r>
          </w:p>
        </w:tc>
        <w:tc>
          <w:tcPr>
            <w:tcW w:type="dxa" w:w="6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Model/drift panel showing model version and a population-stability (PSI) check.</w:t>
            </w:r>
          </w:p>
        </w:tc>
        <w:tc>
          <w:tcPr>
            <w:tcW w:type="dxa" w:w="17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3.6 Feedback loop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Analyst labels are stored and exported as a retraining set. A simple retrain job produces a new versioned model. The demo includes a drift scenario: inject a shifted fraud pattern, show performance dropping, then show recovery after retraining on analyst labels (P1).</w:t>
      </w:r>
    </w:p>
    <w:p>
      <w:pPr>
        <w:pStyle w:val="Heading1"/>
        <w:pBdr>
          <w:bottom w:val="single" w:color="1F3A5F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4. Non-Functional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400"/>
        <w:gridCol w:w="2406"/>
      </w:tblGrid>
      <w:tr>
        <w:trPr>
          <w:tblHeader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NFR-1</w:t>
            </w:r>
          </w:p>
        </w:tc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Latency</w:t>
            </w:r>
          </w:p>
        </w:tc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End-to-end scoring time per transaction, measured with Locust.</w:t>
            </w:r>
          </w:p>
        </w:tc>
        <w:tc>
          <w:tcPr>
            <w:tcW w:type="dxa" w:w="2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p95 &lt; 200 ms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NFR-2</w:t>
            </w:r>
          </w:p>
        </w:tc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Throughput</w:t>
            </w:r>
          </w:p>
        </w:tc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Sustained scoring rate on a single-machine deployment.</w:t>
            </w:r>
          </w:p>
        </w:tc>
        <w:tc>
          <w:tcPr>
            <w:tcW w:type="dxa" w:w="2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Proposed: 100 TPS; confirm after profiling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NFR-3</w:t>
            </w:r>
          </w:p>
        </w:tc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lost or duplicated alerts when the consumer restarts or messages are replayed.</w:t>
            </w:r>
          </w:p>
        </w:tc>
        <w:tc>
          <w:tcPr>
            <w:tcW w:type="dxa" w:w="2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Verified by replay test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NFR-4</w:t>
            </w:r>
          </w:p>
        </w:tc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command brings up Postgres, Redis and the API; fixed seeds; dataset download scripts.</w:t>
            </w:r>
          </w:p>
        </w:tc>
        <w:tc>
          <w:tcPr>
            <w:tcW w:type="dxa" w:w="2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 compose up works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NFR-5</w:t>
            </w:r>
          </w:p>
        </w:tc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alert has a stored explanation.</w:t>
            </w:r>
          </w:p>
        </w:tc>
        <w:tc>
          <w:tcPr>
            <w:tcW w:type="dxa" w:w="2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 of flagged alerts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NFR-6</w:t>
            </w:r>
          </w:p>
        </w:tc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 and analyst actions are traceable.</w:t>
            </w:r>
          </w:p>
        </w:tc>
        <w:tc>
          <w:tcPr>
            <w:tcW w:type="dxa" w:w="2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row per state change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NFR-7</w:t>
            </w:r>
          </w:p>
        </w:tc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 tests for the feature module and scoring endpoint; typed payloads via Pydantic.</w:t>
            </w:r>
          </w:p>
        </w:tc>
        <w:tc>
          <w:tcPr>
            <w:tcW w:type="dxa" w:w="2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 module tested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NFR-8</w:t>
            </w:r>
          </w:p>
        </w:tc>
        <w:tc>
          <w:tcPr>
            <w:tcW w:type="dxa" w:w="18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honesty</w:t>
            </w:r>
          </w:p>
        </w:tc>
        <w:tc>
          <w:tcPr>
            <w:tcW w:type="dxa" w:w="4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 states that Sparkov fraud labels come from generator rules, so very high scores are partly an artefact.</w:t>
            </w:r>
          </w:p>
        </w:tc>
        <w:tc>
          <w:tcPr>
            <w:tcW w:type="dxa" w:w="2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Stated in write-up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5. System Architecture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prototype is an event-driven pipeline: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Ingest: </w:t>
      </w:r>
      <w:r>
        <w:rPr>
          <w:rFonts w:ascii="Arial" w:cs="Arial" w:eastAsia="Arial" w:hAnsi="Arial"/>
          <w:sz w:val="21"/>
          <w:szCs w:val="21"/>
        </w:rPr>
        <w:t xml:space="preserve">POS/app/web events are published to Redis Streams and fanned out through a consumer group.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Features: </w:t>
      </w:r>
      <w:r>
        <w:rPr>
          <w:rFonts w:ascii="Arial" w:cs="Arial" w:eastAsia="Arial" w:hAnsi="Arial"/>
          <w:sz w:val="21"/>
          <w:szCs w:val="21"/>
        </w:rPr>
        <w:t xml:space="preserve">the shared feature module computes velocity, geo-distance, travel speed and time-of-day features.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sz w:val="21"/>
          <w:szCs w:val="21"/>
        </w:rPr>
        <w:t xml:space="preserve">XGBoost and the anomaly layer score in parallel (or stacked), then the decision layer applies approve / review / block thresholds.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Explain and store: </w:t>
      </w:r>
      <w:r>
        <w:rPr>
          <w:rFonts w:ascii="Arial" w:cs="Arial" w:eastAsia="Arial" w:hAnsi="Arial"/>
          <w:sz w:val="21"/>
          <w:szCs w:val="21"/>
        </w:rPr>
        <w:t xml:space="preserve">flagged transactions go to an async SHAP worker and are written to PostgreSQL as alerts.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Serve: </w:t>
      </w:r>
      <w:r>
        <w:rPr>
          <w:rFonts w:ascii="Arial" w:cs="Arial" w:eastAsia="Arial" w:hAnsi="Arial"/>
          <w:sz w:val="21"/>
          <w:szCs w:val="21"/>
        </w:rPr>
        <w:t xml:space="preserve">FastAPI exposes /score and the alert APIs to the React dashboard; analyst decisions are logged back for retraining.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5.1 Technology stack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00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0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 and orchestration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50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Async, low-latency, Pydantic validation, auto OpenAPI docs.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Ingestion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Streams</w:t>
            </w:r>
          </w:p>
        </w:tc>
        <w:tc>
          <w:tcPr>
            <w:tcW w:type="dxa" w:w="50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Lightweight high-throughput log with consumer groups; simpler than Kafka.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Supervised model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XGBoost</w:t>
            </w:r>
          </w:p>
        </w:tc>
        <w:tc>
          <w:tcPr>
            <w:tcW w:type="dxa" w:w="50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Strong on imbalanced tabular fraud data; fast to train.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Unsupervised model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Isolation Forest (PyOD/scikit-learn); Autoencoder optional</w:t>
            </w:r>
          </w:p>
        </w:tc>
        <w:tc>
          <w:tcPr>
            <w:tcW w:type="dxa" w:w="50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Flags unusual behaviour without fraud labels.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SHAP</w:t>
            </w:r>
          </w:p>
        </w:tc>
        <w:tc>
          <w:tcPr>
            <w:tcW w:type="dxa" w:w="50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Per-prediction attribution that native feature importance cannot provide.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50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ACID storage and audit trail for a relational schema.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</w:t>
            </w:r>
          </w:p>
        </w:tc>
        <w:tc>
          <w:tcPr>
            <w:tcW w:type="dxa" w:w="50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 model suits filter/drill-down case management.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MLOps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joblib versioning; MLflow and Evidently optional</w:t>
            </w:r>
          </w:p>
        </w:tc>
        <w:tc>
          <w:tcPr>
            <w:tcW w:type="dxa" w:w="50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 registry and drift checks if time allows.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 testing</w:t>
            </w:r>
          </w:p>
        </w:tc>
        <w:tc>
          <w:tcPr>
            <w:tcW w:type="dxa" w:w="2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Locust</w:t>
            </w:r>
          </w:p>
        </w:tc>
        <w:tc>
          <w:tcPr>
            <w:tcW w:type="dxa" w:w="50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Measures p95 latency under load.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5.2 Data model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schema is centred on the Transaction entity. Each transaction links a Card (and its customer) to a Merchant, may generate zero or one Fraud Alert, and every alert records the ML Model version that produced it and optionally the Analyst who reviewed it.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06"/>
      </w:tblGrid>
      <w:tr>
        <w:trPr>
          <w:tblHeader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 (indicative)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/ Card</w:t>
            </w:r>
          </w:p>
        </w:tc>
        <w:tc>
          <w:tcPr>
            <w:tcW w:type="dxa" w:w="7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card_id, customer_id, home_lat, home_long, created_at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Merchant</w:t>
            </w:r>
          </w:p>
        </w:tc>
        <w:tc>
          <w:tcPr>
            <w:tcW w:type="dxa" w:w="7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merchant_id, name, category, lat, long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Transaction</w:t>
            </w:r>
          </w:p>
        </w:tc>
        <w:tc>
          <w:tcPr>
            <w:tcW w:type="dxa" w:w="7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txn_id (unique), card_id, merchant_id, amount, timestamp, channel, lat, long, engineered features, risk_score, anomaly_score, decision, model_version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Fraud Alert</w:t>
            </w:r>
          </w:p>
        </w:tc>
        <w:tc>
          <w:tcPr>
            <w:tcW w:type="dxa" w:w="7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alert_id, txn_id, status, risk_band, shap_json, model_version, analyst_id, resolution, resolved_at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ML Model</w:t>
            </w:r>
          </w:p>
        </w:tc>
        <w:tc>
          <w:tcPr>
            <w:tcW w:type="dxa" w:w="7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model_version, type, trained_at, dataset, metrics_json, artefact_path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Analyst</w:t>
            </w:r>
          </w:p>
        </w:tc>
        <w:tc>
          <w:tcPr>
            <w:tcW w:type="dxa" w:w="7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analyst_id, name, role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 Log</w:t>
            </w:r>
          </w:p>
        </w:tc>
        <w:tc>
          <w:tcPr>
            <w:tcW w:type="dxa" w:w="74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log_id, entity_type, entity_id, action, actor, timestamp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6. Data and Modelling Plan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6.1 Datasets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5106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 / fraud rate</w:t>
            </w:r>
          </w:p>
        </w:tc>
        <w:tc>
          <w:tcPr>
            <w:tcW w:type="dxa" w:w="51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this project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Sparkov simulated transactions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~1.85M rows, ~0.5% fraud</w:t>
            </w:r>
          </w:p>
        </w:tc>
        <w:tc>
          <w:tcPr>
            <w:tcW w:type="dxa" w:w="51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development set. Has cardholder and merchant coordinates, category and timestamp, so behavioural features can be built.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ULB Credit Card Fraud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284,807 rows, 0.172% fraud</w:t>
            </w:r>
          </w:p>
        </w:tc>
        <w:tc>
          <w:tcPr>
            <w:tcW w:type="dxa" w:w="51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benchmark for baseline comparison. PCA-anonymised, so no behavioural features.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IEEE-CIS Fraud Detection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~590k rows, ~3.5% fraud</w:t>
            </w:r>
          </w:p>
        </w:tc>
        <w:tc>
          <w:tcPr>
            <w:tcW w:type="dxa" w:w="51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 validation of generalisation using device, email and address fields.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2: Datasets. Sprint 1 downloads Sparkov and ULB only; IEEE-CIS is a stretch validation.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6.2 Evaluation protocol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Time-based split: </w:t>
      </w:r>
      <w:r>
        <w:rPr>
          <w:rFonts w:ascii="Arial" w:cs="Arial" w:eastAsia="Arial" w:hAnsi="Arial"/>
          <w:sz w:val="21"/>
          <w:szCs w:val="21"/>
        </w:rPr>
        <w:t xml:space="preserve">train on earlier months, test on later ones. Random splits leak and overstate performance.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Metrics: </w:t>
      </w:r>
      <w:r>
        <w:rPr>
          <w:rFonts w:ascii="Arial" w:cs="Arial" w:eastAsia="Arial" w:hAnsi="Arial"/>
          <w:sz w:val="21"/>
          <w:szCs w:val="21"/>
        </w:rPr>
        <w:t xml:space="preserve">precision, recall, F1, AUC-PR (primary comparison) and p95 latency. Raw accuracy is not used, since fraud is well under 1% of transactions.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Ablation table: </w:t>
      </w:r>
      <w:r>
        <w:rPr>
          <w:rFonts w:ascii="Arial" w:cs="Arial" w:eastAsia="Arial" w:hAnsi="Arial"/>
          <w:sz w:val="21"/>
          <w:szCs w:val="21"/>
        </w:rPr>
        <w:t xml:space="preserve">XGBoost only, Isolation Forest only, OR-fusion, and stacked hybrid, each reported with precision, recall, F1, AUC-PR and p95 latency.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Held-out fraud type: </w:t>
      </w:r>
      <w:r>
        <w:rPr>
          <w:rFonts w:ascii="Arial" w:cs="Arial" w:eastAsia="Arial" w:hAnsi="Arial"/>
          <w:sz w:val="21"/>
          <w:szCs w:val="21"/>
        </w:rPr>
        <w:t xml:space="preserve">remove one fraud category from training, then show XGBoost misses it while the hybrid catches it.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Cost-based evaluation: </w:t>
      </w:r>
      <w:r>
        <w:rPr>
          <w:rFonts w:ascii="Arial" w:cs="Arial" w:eastAsia="Arial" w:hAnsi="Arial"/>
          <w:sz w:val="21"/>
          <w:szCs w:val="21"/>
        </w:rPr>
        <w:t xml:space="preserve">money saved versus money lost to false positives at the chosen thresholds.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6.3 Success criteria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00"/>
        <w:gridCol w:w="2606"/>
      </w:tblGrid>
      <w:tr>
        <w:trPr>
          <w:tblHeader/>
        </w:trP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2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Beats baselines</w:t>
            </w:r>
          </w:p>
        </w:tc>
        <w:tc>
          <w:tcPr>
            <w:tcW w:type="dxa" w:w="3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AUC-PR vs. Logistic Regression and plain XGBoost on the time-based test set</w:t>
            </w:r>
          </w:p>
        </w:tc>
        <w:tc>
          <w:tcPr>
            <w:tcW w:type="dxa" w:w="2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Hybrid ≥ plain XGBoost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Hybrid justified</w:t>
            </w:r>
          </w:p>
        </w:tc>
        <w:tc>
          <w:tcPr>
            <w:tcW w:type="dxa" w:w="3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Recall on held-out fraud type</w:t>
            </w:r>
          </w:p>
        </w:tc>
        <w:tc>
          <w:tcPr>
            <w:tcW w:type="dxa" w:w="2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Hybrid &gt; XGBoost alone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Real-time capable</w:t>
            </w:r>
          </w:p>
        </w:tc>
        <w:tc>
          <w:tcPr>
            <w:tcW w:type="dxa" w:w="3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p95 end-to-end latency under Locust load</w:t>
            </w:r>
          </w:p>
        </w:tc>
        <w:tc>
          <w:tcPr>
            <w:tcW w:type="dxa" w:w="2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200 ms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Explainable</w:t>
            </w:r>
          </w:p>
        </w:tc>
        <w:tc>
          <w:tcPr>
            <w:tcW w:type="dxa" w:w="3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Flagged alerts with stored SHAP explanation</w:t>
            </w:r>
          </w:p>
        </w:tc>
        <w:tc>
          <w:tcPr>
            <w:tcW w:type="dxa" w:w="2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Pipeline correct</w:t>
            </w:r>
          </w:p>
        </w:tc>
        <w:tc>
          <w:tcPr>
            <w:tcW w:type="dxa" w:w="3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Replayed transaction goes Redis → stored alert with explanation, no duplicates</w:t>
            </w:r>
          </w:p>
        </w:tc>
        <w:tc>
          <w:tcPr>
            <w:tcW w:type="dxa" w:w="2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Demo ready</w:t>
            </w:r>
          </w:p>
        </w:tc>
        <w:tc>
          <w:tcPr>
            <w:tcW w:type="dxa" w:w="35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End-to-end demo runs from a clean checkout</w:t>
            </w:r>
          </w:p>
        </w:tc>
        <w:tc>
          <w:tcPr>
            <w:tcW w:type="dxa" w:w="2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by 27 Oct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Numeric precision/recall targets are intentionally not fixed yet. They will be set from the baseline table produced in Sprint 1, once realistic values on the time-based split are known.</w:t>
      </w:r>
    </w:p>
    <w:p>
      <w:pPr>
        <w:pStyle w:val="Heading1"/>
        <w:pBdr>
          <w:bottom w:val="single" w:color="1F3A5F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7. Milestones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450"/>
        <w:gridCol w:w="2000"/>
        <w:gridCol w:w="3606"/>
        <w:gridCol w:w="1600"/>
      </w:tblGrid>
      <w:tr>
        <w:trPr>
          <w:tblHeader/>
        </w:trPr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Dates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Sep – 6 Oct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Data, baselines, features started</w:t>
            </w:r>
          </w:p>
        </w:tc>
        <w:tc>
          <w:tcPr>
            <w:tcW w:type="dxa" w:w="3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 and Docker Compose (Postgres, Redis, API); Sparkov and ULB downloaded; EDA; Logistic Regression and XGBoost baselines; start of feature module.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Baseline table committed; docker compose up works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– 13 Oct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Features finished, models trained</w:t>
            </w:r>
          </w:p>
        </w:tc>
        <w:tc>
          <w:tcPr>
            <w:tcW w:type="dxa" w:w="3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Features with time-based split; tuned XGBoost (scale_pos_weight, cost-based threshold); Isolation Forest; stacked variant; ablation table; held-out fraud-type experiment.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Hybrid beats XGBoost alone on held-out type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– 20 Oct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Decision layer and backend</w:t>
            </w:r>
          </w:p>
        </w:tc>
        <w:tc>
          <w:tcPr>
            <w:tcW w:type="dxa" w:w="3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Approve/review/block thresholds; async SHAP; FastAPI /score and alert APIs; Redis consumer group; idempotent Postgres writes; model versioning.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Replayed transaction becomes stored alert with SHAP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S4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 – 27 Oct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and evaluation</w:t>
            </w:r>
          </w:p>
        </w:tc>
        <w:tc>
          <w:tcPr>
            <w:tcW w:type="dxa" w:w="3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Minimal React dashboard (alert table, case view with SHAP chart, confirm/false-positive); Locust p95 test; cost-based evaluation; simple retrain. Feature freeze 24 Oct, code freeze 27 Oct.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End-to-end demo runs; p95 measured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S5</w:t>
            </w:r>
          </w:p>
        </w:tc>
        <w:tc>
          <w:tcPr>
            <w:tcW w:type="dxa" w:w="145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 – 31 Oct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Write-up and submission</w:t>
            </w:r>
          </w:p>
        </w:tc>
        <w:tc>
          <w:tcPr>
            <w:tcW w:type="dxa" w:w="3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 updated with real numbers and figures; demo video; viva rehearsal. Submission-ready by 30 Oct; 31 Oct is buffer only.</w:t>
            </w:r>
          </w:p>
        </w:tc>
        <w:tc>
          <w:tcPr>
            <w:tcW w:type="dxa" w:w="1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Submitted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8. Risks and Mitigations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606"/>
      </w:tblGrid>
      <w:tr>
        <w:trPr>
          <w:tblHeader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5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Tight timeline (one month, five sprints)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Strict P0/P1/P2 split; feature freeze 24 Oct, code freeze 27 Oct; cut P2 items first (autoencoder, drift panel, IEEE-CIS).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Synthetic labels inflate scores on Sparkov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Benchmark on ULB, state the limitation in the report, and rely on the held-out fraud-type experiment rather than headline scores.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leakage from random splits or future data in features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Time-based split; point-in-time features; unit tests on the feature module.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OR-fusion inflates false positives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three-tier decisions and stacking; choose thresholds from analyst capacity and cost matrix.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SHAP cannot explain unsupervised-only alerts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Explain each layer separately (FR-15); keep SHAP async and only for flagged transactions.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Latency budget missed under load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Redis-backed online features, compute SHAP off the hot path, measure early with Locust.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Train/serve skew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5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shared feature module used in both paths.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Duplicate alerts from at-least-once delivery</w:t>
            </w:r>
          </w:p>
        </w:tc>
        <w:tc>
          <w:tcPr>
            <w:tcW w:type="dxa" w:w="1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560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Idempotent writes with unique transaction ID.</w:t>
            </w:r>
          </w:p>
        </w:tc>
      </w:tr>
    </w:tbl>
    <w:p>
      <w:pPr>
        <w:pStyle w:val="Heading1"/>
        <w:pBdr>
          <w:bottom w:val="single" w:color="1F3A5F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9. Assumptions, Dependencies and Open Questions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9.1 Assumptions and dependencies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Public datasets (Sparkov, ULB) are available and licences allow academic use.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The project runs on a single developer machine using Docker Compose.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Python libraries used: FastAPI, XGBoost, scikit-learn, PyOD, SHAP, Redis client, SQLAlchemy/psycopg; React for the front end.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C4F7C"/>
          <w:sz w:val="24"/>
          <w:szCs w:val="24"/>
        </w:rPr>
        <w:t xml:space="preserve">9.2 Open questions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Is the autoencoder in scope for submission, or is Isolation Forest sufficient for the unsupervised layer?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Which fraud category will be held out for the key experiment?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Will analyst login be a simple hard-coded role or a minimal auth layer?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Is a short paper or publication a goal, or is the submission the only deliverable?</w:t>
      </w:r>
    </w:p>
    <w:p>
      <w:pPr>
        <w:pStyle w:val="Heading1"/>
        <w:pBdr>
          <w:bottom w:val="single" w:color="1F3A5F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10. Future Scope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Graph-based model (NetworkX or Neo4j with community detection) to catch coordinated multi-account fraud rings.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Online/incremental learning so the model adapts between full retraining cycles.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Adaptive feedback loop where analyst decisions automatically re-weight the ensemble.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MLflow model registry and Evidently drift monitoring as a full MLOps layer.</w:t>
      </w:r>
    </w:p>
    <w:p>
      <w:pPr>
        <w:pStyle w:val="Heading1"/>
        <w:pBdr>
          <w:bottom w:val="single" w:color="1F3A5F" w:sz="6" w:space="2"/>
        </w:pBdr>
        <w:spacing w:after="140" w:before="36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Appendix: References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19"/>
          <w:szCs w:val="19"/>
        </w:rPr>
        <w:t xml:space="preserve">Dal Pozzolo, A. et al., “Credit Card Fraud Detection: A Realistic Modeling and a Novel Learning Strategy,” IEEE TNNLS, 2018.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19"/>
          <w:szCs w:val="19"/>
        </w:rPr>
        <w:t xml:space="preserve">Liu, F. T., Ting, K. M., &amp; Zhou, Z.-H., “Isolation Forest,” IEEE ICDM, 2008.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19"/>
          <w:szCs w:val="19"/>
        </w:rPr>
        <w:t xml:space="preserve">Lundberg, S. M., &amp; Lee, S.-I., “A Unified Approach to Interpreting Model Predictions,” NeurIPS, 2017.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19"/>
          <w:szCs w:val="19"/>
        </w:rPr>
        <w:t xml:space="preserve">Chen, T., &amp; Guestrin, C., “XGBoost: A Scalable Tree Boosting System,” ACM SIGKDD, 2016.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19"/>
          <w:szCs w:val="19"/>
        </w:rPr>
        <w:t xml:space="preserve">Chandola, V., Banerjee, A., &amp; Kumar, V., “Anomaly Detection: A Survey,” ACM Computing Surveys, 2009.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19"/>
          <w:szCs w:val="19"/>
        </w:rPr>
        <w:t xml:space="preserve">Carcillo, F. et al., “Combining unsupervised and supervised learning in credit card fraud detection,” Information Sciences, 2021.</w:t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C93"/>
        <w:sz w:val="17"/>
        <w:szCs w:val="17"/>
      </w:rPr>
      <w:t xml:space="preserve">Page </w:t>
    </w:r>
    <w:r>
      <w:rPr>
        <w:rFonts w:ascii="Arial" w:cs="Arial" w:eastAsia="Arial" w:hAnsi="Arial"/>
        <w:color w:val="6B7C9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2" w:sz="4" w:space="4"/>
      </w:pBdr>
      <w:tabs>
        <w:tab w:val="right" w:pos="9506"/>
      </w:tabs>
    </w:pPr>
    <w:r>
      <w:rPr>
        <w:rFonts w:ascii="Arial" w:cs="Arial" w:eastAsia="Arial" w:hAnsi="Arial"/>
        <w:color w:val="6B7C93"/>
        <w:sz w:val="17"/>
        <w:szCs w:val="17"/>
      </w:rPr>
      <w:t xml:space="preserve">PRD – Credit Card Fraud Detection System</w:t>
    </w:r>
    <w:r>
      <w:rPr>
        <w:rFonts w:ascii="Arial" w:cs="Arial" w:eastAsia="Arial" w:hAnsi="Arial"/>
        <w:color w:val="6B7C93"/>
        <w:sz w:val="17"/>
        <w:szCs w:val="17"/>
      </w:rPr>
      <w:t xml:space="preserve">	v1.0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– Credit Card Fraud Detection System</dc:title>
  <dc:creator>Vivek Yadav</dc:creator>
  <cp:lastModifiedBy>Un-named</cp:lastModifiedBy>
  <cp:revision>1</cp:revision>
  <dcterms:created xsi:type="dcterms:W3CDTF">2026-09-30T04:01:24.481Z</dcterms:created>
  <dcterms:modified xsi:type="dcterms:W3CDTF">2026-09-30T04:01:24.481Z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