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0"/>
        <w:rPr>
          <w:b/>
          <w:b/>
        </w:rPr>
      </w:pPr>
      <w:r>
        <w:rPr>
          <w:b/>
        </w:rPr>
      </w:r>
      <w:r>
        <mc:AlternateContent>
          <mc:Choice Requires="wps">
            <w:drawing>
              <wp:anchor behindDoc="0" distT="0" distB="10160" distL="114300" distR="130175" simplePos="0" locked="0" layoutInCell="1" allowOverlap="1" relativeHeight="2">
                <wp:simplePos x="0" y="0"/>
                <wp:positionH relativeFrom="column">
                  <wp:align>center</wp:align>
                </wp:positionH>
                <wp:positionV relativeFrom="margin">
                  <wp:posOffset>0</wp:posOffset>
                </wp:positionV>
                <wp:extent cx="5396230" cy="4679950"/>
                <wp:effectExtent l="0" t="0" r="0" b="0"/>
                <wp:wrapNone/>
                <wp:docPr id="1" name=""/>
                <a:graphic xmlns:a="http://schemas.openxmlformats.org/drawingml/2006/main">
                  <a:graphicData uri="http://schemas.microsoft.com/office/word/2010/wordprocessingShape">
                    <wps:wsp>
                      <wps:cNvSpPr txBox="1"/>
                      <wps:spPr>
                        <a:xfrm>
                          <a:off x="0" y="0"/>
                          <a:ext cx="5396230" cy="4679950"/>
                        </a:xfrm>
                        <a:prstGeom prst="rect"/>
                      </wps:spPr>
                      <wps:txbx>
                        <w:txbxContent>
                          <w:p>
                            <w:pPr>
                              <w:pStyle w:val="Title"/>
                              <w:rPr/>
                            </w:pPr>
                            <w:r>
                              <w:rPr/>
                              <w:t xml:space="preserve">Bericht zum Versuch: </w:t>
                            </w:r>
                          </w:p>
                          <w:p>
                            <w:pPr>
                              <w:pStyle w:val="Title"/>
                              <w:rPr/>
                            </w:pPr>
                            <w:r>
                              <w:rPr/>
                              <w:t>Messsystemanalyse</w:t>
                            </w:r>
                          </w:p>
                          <w:p>
                            <w:pPr>
                              <w:pStyle w:val="Subtitle"/>
                              <w:rPr/>
                            </w:pPr>
                            <w:r>
                              <w:rPr/>
                            </w:r>
                          </w:p>
                        </w:txbxContent>
                      </wps:txbx>
                      <wps:bodyPr anchor="t" lIns="0" tIns="0" rIns="0" bIns="0">
                        <a:noAutofit/>
                      </wps:bodyPr>
                    </wps:wsp>
                  </a:graphicData>
                </a:graphic>
              </wp:anchor>
            </w:drawing>
          </mc:Choice>
          <mc:Fallback>
            <w:pict>
              <v:rect stroked="f" strokeweight="0pt" style="position:absolute;rotation:0;width:424.9pt;height:368.5pt;mso-wrap-distance-left:9pt;mso-wrap-distance-right:10.25pt;mso-wrap-distance-top:0pt;mso-wrap-distance-bottom:0.8pt;margin-top:0pt;mso-position-vertical-relative:margin;margin-left:0.15pt;mso-position-horizontal:center;mso-position-horizontal-relative:text">
                <v:textbox inset="0in,0in,0in,0in">
                  <w:txbxContent>
                    <w:p>
                      <w:pPr>
                        <w:pStyle w:val="Title"/>
                        <w:rPr/>
                      </w:pPr>
                      <w:r>
                        <w:rPr/>
                        <w:t xml:space="preserve">Bericht zum Versuch: </w:t>
                      </w:r>
                    </w:p>
                    <w:p>
                      <w:pPr>
                        <w:pStyle w:val="Title"/>
                        <w:rPr/>
                      </w:pPr>
                      <w:r>
                        <w:rPr/>
                        <w:t>Messsystemanalyse</w:t>
                      </w:r>
                    </w:p>
                    <w:p>
                      <w:pPr>
                        <w:pStyle w:val="Subtitle"/>
                        <w:rPr/>
                      </w:pPr>
                      <w:r>
                        <w:rPr/>
                      </w:r>
                    </w:p>
                  </w:txbxContent>
                </v:textbox>
              </v:rect>
            </w:pict>
          </mc:Fallback>
        </mc:AlternateContent>
      </w:r>
      <w:r>
        <mc:AlternateContent>
          <mc:Choice Requires="wps">
            <w:drawing>
              <wp:anchor behindDoc="0" distT="0" distB="17780" distL="114300" distR="125095" simplePos="0" locked="0" layoutInCell="1" allowOverlap="1" relativeHeight="3">
                <wp:simplePos x="0" y="0"/>
                <wp:positionH relativeFrom="column">
                  <wp:posOffset>-186055</wp:posOffset>
                </wp:positionH>
                <wp:positionV relativeFrom="margin">
                  <wp:posOffset>8395970</wp:posOffset>
                </wp:positionV>
                <wp:extent cx="5403215" cy="405130"/>
                <wp:effectExtent l="0" t="0" r="0" b="0"/>
                <wp:wrapNone/>
                <wp:docPr id="2" name=""/>
                <a:graphic xmlns:a="http://schemas.openxmlformats.org/drawingml/2006/main">
                  <a:graphicData uri="http://schemas.microsoft.com/office/word/2010/wordprocessingShape">
                    <wps:wsp>
                      <wps:cNvSpPr txBox="1"/>
                      <wps:spPr>
                        <a:xfrm>
                          <a:off x="0" y="0"/>
                          <a:ext cx="5403215" cy="405130"/>
                        </a:xfrm>
                        <a:prstGeom prst="rect"/>
                      </wps:spPr>
                      <wps:txbx>
                        <w:txbxContent>
                          <w:p>
                            <w:pPr>
                              <w:pStyle w:val="Subtitle"/>
                              <w:tabs>
                                <w:tab w:val="left" w:pos="2835" w:leader="none"/>
                              </w:tabs>
                              <w:spacing w:before="0" w:after="0"/>
                              <w:rPr/>
                            </w:pPr>
                            <w:r>
                              <w:rPr/>
                              <w:t>Prof. Dr. Julia Neff</w:t>
                            </w:r>
                          </w:p>
                        </w:txbxContent>
                      </wps:txbx>
                      <wps:bodyPr anchor="t" lIns="360045" tIns="0" rIns="0" bIns="0">
                        <a:noAutofit/>
                      </wps:bodyPr>
                    </wps:wsp>
                  </a:graphicData>
                </a:graphic>
              </wp:anchor>
            </w:drawing>
          </mc:Choice>
          <mc:Fallback>
            <w:pict>
              <v:rect stroked="f" strokeweight="0pt" style="position:absolute;rotation:0;width:425.45pt;height:31.9pt;mso-wrap-distance-left:9pt;mso-wrap-distance-right:9.85pt;mso-wrap-distance-top:0pt;mso-wrap-distance-bottom:1.4pt;margin-top:661.1pt;mso-position-vertical-relative:margin;margin-left:-14.65pt;mso-position-horizontal-relative:text">
                <v:textbox inset="0.39375in,0in,0in,0in">
                  <w:txbxContent>
                    <w:p>
                      <w:pPr>
                        <w:pStyle w:val="Subtitle"/>
                        <w:tabs>
                          <w:tab w:val="left" w:pos="2835" w:leader="none"/>
                        </w:tabs>
                        <w:spacing w:before="0" w:after="0"/>
                        <w:rPr/>
                      </w:pPr>
                      <w:r>
                        <w:rPr/>
                        <w:t>Prof. Dr. Julia Neff</w:t>
                      </w:r>
                    </w:p>
                  </w:txbxContent>
                </v:textbox>
              </v:rect>
            </w:pict>
          </mc:Fallback>
        </mc:AlternateContent>
      </w:r>
      <w:r>
        <mc:AlternateContent>
          <mc:Choice Requires="wps">
            <w:drawing>
              <wp:anchor behindDoc="0" distT="0" distB="5080" distL="114300" distR="125095" simplePos="0" locked="0" layoutInCell="1" allowOverlap="1" relativeHeight="4">
                <wp:simplePos x="0" y="0"/>
                <wp:positionH relativeFrom="column">
                  <wp:align>center</wp:align>
                </wp:positionH>
                <wp:positionV relativeFrom="margin">
                  <wp:posOffset>4680585</wp:posOffset>
                </wp:positionV>
                <wp:extent cx="5403850" cy="3580130"/>
                <wp:effectExtent l="0" t="0" r="0" b="0"/>
                <wp:wrapNone/>
                <wp:docPr id="3" name=""/>
                <a:graphic xmlns:a="http://schemas.openxmlformats.org/drawingml/2006/main">
                  <a:graphicData uri="http://schemas.microsoft.com/office/word/2010/wordprocessingShape">
                    <wps:wsp>
                      <wps:cNvSpPr txBox="1"/>
                      <wps:spPr>
                        <a:xfrm>
                          <a:off x="0" y="0"/>
                          <a:ext cx="5403850" cy="3580130"/>
                        </a:xfrm>
                        <a:prstGeom prst="rect"/>
                      </wps:spPr>
                      <wps:txbx>
                        <w:txbxContent>
                          <w:p>
                            <w:pPr>
                              <w:pStyle w:val="Subtitle"/>
                              <w:suppressAutoHyphens w:val="true"/>
                              <w:spacing w:before="240" w:after="0"/>
                              <w:jc w:val="center"/>
                              <w:rPr>
                                <w:b/>
                                <w:b/>
                              </w:rPr>
                            </w:pPr>
                            <w:r>
                              <w:rPr>
                                <w:b/>
                              </w:rPr>
                              <w:t>Berichtabgabe</w:t>
                            </w:r>
                          </w:p>
                          <w:p>
                            <w:pPr>
                              <w:pStyle w:val="Subtitle"/>
                              <w:rPr/>
                            </w:pPr>
                            <w:r>
                              <w:rPr/>
                              <w:t>vorgelegt von</w:t>
                            </w:r>
                          </w:p>
                          <w:p>
                            <w:pPr>
                              <w:pStyle w:val="Subtitle"/>
                              <w:rPr>
                                <w:b/>
                                <w:b/>
                                <w:bCs/>
                              </w:rPr>
                            </w:pPr>
                            <w:r>
                              <w:rPr>
                                <w:b/>
                                <w:bCs/>
                              </w:rPr>
                              <w:t>Gruppe 6</w:t>
                            </w:r>
                          </w:p>
                          <w:p>
                            <w:pPr>
                              <w:pStyle w:val="Subtitle"/>
                              <w:rPr>
                                <w:b/>
                                <w:b/>
                              </w:rPr>
                            </w:pPr>
                            <w:r>
                              <w:rPr>
                                <w:b/>
                              </w:rPr>
                              <w:t xml:space="preserve">Benjamin Hamm (2060696), Jan Klotter (2060690), </w:t>
                              <w:br/>
                              <w:t>Anna Kuhn (2051063), Michael Schulze (2061282)</w:t>
                            </w:r>
                          </w:p>
                          <w:p>
                            <w:pPr>
                              <w:pStyle w:val="Subtitle"/>
                              <w:rPr/>
                            </w:pPr>
                            <w:r>
                              <w:rPr/>
                              <w:t xml:space="preserve">am 17. November 2020 </w:t>
                              <w:br/>
                              <w:t>Hochschule Mannheim</w:t>
                            </w:r>
                          </w:p>
                        </w:txbxContent>
                      </wps:txbx>
                      <wps:bodyPr anchor="t" lIns="0" tIns="0" rIns="0" bIns="0">
                        <a:noAutofit/>
                      </wps:bodyPr>
                    </wps:wsp>
                  </a:graphicData>
                </a:graphic>
              </wp:anchor>
            </w:drawing>
          </mc:Choice>
          <mc:Fallback>
            <w:pict>
              <v:rect stroked="f" strokeweight="0pt" style="position:absolute;rotation:0;width:425.5pt;height:281.9pt;mso-wrap-distance-left:9pt;mso-wrap-distance-right:9.85pt;mso-wrap-distance-top:0pt;mso-wrap-distance-bottom:0.4pt;margin-top:368.55pt;mso-position-vertical-relative:margin;margin-left:-0.15pt;mso-position-horizontal:center;mso-position-horizontal-relative:text">
                <v:textbox inset="0in,0in,0in,0in">
                  <w:txbxContent>
                    <w:p>
                      <w:pPr>
                        <w:pStyle w:val="Subtitle"/>
                        <w:suppressAutoHyphens w:val="true"/>
                        <w:spacing w:before="240" w:after="0"/>
                        <w:jc w:val="center"/>
                        <w:rPr>
                          <w:b/>
                          <w:b/>
                        </w:rPr>
                      </w:pPr>
                      <w:r>
                        <w:rPr>
                          <w:b/>
                        </w:rPr>
                        <w:t>Berichtabgabe</w:t>
                      </w:r>
                    </w:p>
                    <w:p>
                      <w:pPr>
                        <w:pStyle w:val="Subtitle"/>
                        <w:rPr/>
                      </w:pPr>
                      <w:r>
                        <w:rPr/>
                        <w:t>vorgelegt von</w:t>
                      </w:r>
                    </w:p>
                    <w:p>
                      <w:pPr>
                        <w:pStyle w:val="Subtitle"/>
                        <w:rPr>
                          <w:b/>
                          <w:b/>
                          <w:bCs/>
                        </w:rPr>
                      </w:pPr>
                      <w:r>
                        <w:rPr>
                          <w:b/>
                          <w:bCs/>
                        </w:rPr>
                        <w:t>Gruppe 6</w:t>
                      </w:r>
                    </w:p>
                    <w:p>
                      <w:pPr>
                        <w:pStyle w:val="Subtitle"/>
                        <w:rPr>
                          <w:b/>
                          <w:b/>
                        </w:rPr>
                      </w:pPr>
                      <w:r>
                        <w:rPr>
                          <w:b/>
                        </w:rPr>
                        <w:t xml:space="preserve">Benjamin Hamm (2060696), Jan Klotter (2060690), </w:t>
                        <w:br/>
                        <w:t>Anna Kuhn (2051063), Michael Schulze (2061282)</w:t>
                      </w:r>
                    </w:p>
                    <w:p>
                      <w:pPr>
                        <w:pStyle w:val="Subtitle"/>
                        <w:rPr/>
                      </w:pPr>
                      <w:r>
                        <w:rPr/>
                        <w:t xml:space="preserve">am 17. November 2020 </w:t>
                        <w:br/>
                        <w:t>Hochschule Mannheim</w:t>
                      </w:r>
                    </w:p>
                  </w:txbxContent>
                </v:textbox>
              </v:rect>
            </w:pict>
          </mc:Fallback>
        </mc:AlternateContent>
      </w:r>
    </w:p>
    <w:p>
      <w:pPr>
        <w:pStyle w:val="Heading1"/>
        <w:numPr>
          <w:ilvl w:val="0"/>
          <w:numId w:val="2"/>
        </w:numPr>
        <w:ind w:left="720" w:hanging="720"/>
        <w:rPr/>
      </w:pPr>
      <w:r>
        <w:rPr/>
        <w:t>Einführung und Ablauf</w:t>
      </w:r>
    </w:p>
    <w:p>
      <w:pPr>
        <w:pStyle w:val="Normal"/>
        <w:rPr/>
      </w:pPr>
      <w:r>
        <w:rPr/>
      </w:r>
    </w:p>
    <w:p>
      <w:pPr>
        <w:pStyle w:val="Normal"/>
        <w:rPr/>
      </w:pPr>
      <w:r>
        <w:rPr/>
        <w:t xml:space="preserve">In diesem Versuch soll ein Messbecher mittels einer Messsystemanalyse als Messmittel zum Abwiegen von Wasser qualifiziert werden. Dies soll mit einer Küchenwaage überprüft werden. </w:t>
      </w:r>
    </w:p>
    <w:p>
      <w:pPr>
        <w:pStyle w:val="Normal"/>
        <w:rPr/>
      </w:pPr>
      <w:r>
        <w:rPr/>
        <w:t xml:space="preserve">Zuerst wird das Verfahren 1 zur Messsystemanalyse durchgeführt. Die Messungen erfolgen gemäß der Messanleitung (Kap. 2). Hierfür hat jede Prüfer 25 mal 200 ml gemessen. </w:t>
      </w:r>
    </w:p>
    <w:p>
      <w:pPr>
        <w:pStyle w:val="Normal"/>
        <w:rPr/>
      </w:pPr>
      <w:r>
        <w:rPr/>
        <w:t>Dann wurde Verfahren 2 zur Messsystemanalyse durchgeführt. Hierfür wurden 5 Gläser gesucht, die ein Füllvermögen von jeweils 100, 200, 300, 400 und 500 ml haben. Diese wurden dann mit den zugehörigen Mengen befüllt und gemessen. Die Messung wurde dann einige Stunden später nochmals durchgeführt. Jeder Teilnehmer der Gruppe hat sich einen Prüfer gesucht, der ebenfalls die Messungen durchgeführt hat. Die Probenverwendung wurde, wie in der folgenden Tabelle zu sehen, randomisiert.</w:t>
      </w:r>
    </w:p>
    <w:p>
      <w:pPr>
        <w:pStyle w:val="Normal"/>
        <w:rPr/>
      </w:pPr>
      <w:r>
        <w:rPr/>
      </w:r>
    </w:p>
    <w:tbl>
      <w:tblPr>
        <w:tblW w:w="60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noVBand="1" w:val="04a0" w:noHBand="0" w:lastColumn="0" w:firstColumn="1" w:lastRow="0" w:firstRow="1"/>
      </w:tblPr>
      <w:tblGrid>
        <w:gridCol w:w="1205"/>
        <w:gridCol w:w="1207"/>
        <w:gridCol w:w="1209"/>
        <w:gridCol w:w="1209"/>
        <w:gridCol w:w="1210"/>
      </w:tblGrid>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pPr>
            <w:r>
              <w:rPr/>
            </w:r>
          </w:p>
        </w:tc>
        <w:tc>
          <w:tcPr>
            <w:tcW w:w="4835" w:type="dxa"/>
            <w:gridSpan w:val="4"/>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pacing w:before="120" w:after="0"/>
              <w:jc w:val="center"/>
              <w:rPr>
                <w:b/>
                <w:b/>
                <w:bCs/>
              </w:rPr>
            </w:pPr>
            <w:r>
              <w:rPr>
                <w:b/>
                <w:bCs/>
              </w:rPr>
              <w:t>Messreihenfolge</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pPr>
            <w:r>
              <w:rPr/>
            </w:r>
          </w:p>
        </w:tc>
        <w:tc>
          <w:tcPr>
            <w:tcW w:w="241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b/>
                <w:b/>
                <w:bCs/>
              </w:rPr>
            </w:pPr>
            <w:r>
              <w:rPr>
                <w:b/>
                <w:bCs/>
              </w:rPr>
              <w:t>Prüfer A</w:t>
            </w:r>
          </w:p>
        </w:tc>
        <w:tc>
          <w:tcPr>
            <w:tcW w:w="241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120" w:after="0"/>
              <w:jc w:val="center"/>
              <w:rPr>
                <w:b/>
                <w:b/>
                <w:bCs/>
              </w:rPr>
            </w:pPr>
            <w:r>
              <w:rPr>
                <w:b/>
                <w:bCs/>
              </w:rPr>
              <w:t>Prüfer B</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b/>
                <w:b/>
                <w:bCs/>
              </w:rPr>
            </w:pPr>
            <w:r>
              <w:rPr>
                <w:b/>
                <w:bCs/>
              </w:rPr>
              <w:t>Messung</w:t>
            </w:r>
          </w:p>
        </w:tc>
        <w:tc>
          <w:tcPr>
            <w:tcW w:w="12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b/>
                <w:b/>
                <w:bCs/>
              </w:rPr>
            </w:pPr>
            <w:r>
              <w:rPr>
                <w:b/>
                <w:bCs/>
              </w:rPr>
              <w:t>1</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b/>
                <w:b/>
                <w:bCs/>
              </w:rPr>
            </w:pPr>
            <w:r>
              <w:rPr>
                <w:b/>
                <w:bCs/>
              </w:rPr>
              <w:t>2</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120" w:after="0"/>
              <w:jc w:val="center"/>
              <w:rPr>
                <w:b/>
                <w:b/>
                <w:bCs/>
              </w:rPr>
            </w:pPr>
            <w:r>
              <w:rPr>
                <w:b/>
                <w:bCs/>
              </w:rPr>
              <w:t>1</w:t>
            </w:r>
          </w:p>
        </w:tc>
        <w:tc>
          <w:tcPr>
            <w:tcW w:w="1210"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pacing w:before="120" w:after="0"/>
              <w:jc w:val="center"/>
              <w:rPr>
                <w:b/>
                <w:b/>
                <w:bCs/>
              </w:rPr>
            </w:pPr>
            <w:r>
              <w:rPr>
                <w:b/>
                <w:bCs/>
              </w:rPr>
              <w:t>2</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100 ml</w:t>
            </w:r>
          </w:p>
        </w:tc>
        <w:tc>
          <w:tcPr>
            <w:tcW w:w="12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4</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1</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5</w:t>
            </w:r>
          </w:p>
        </w:tc>
        <w:tc>
          <w:tcPr>
            <w:tcW w:w="1210"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uppressLineNumbers/>
              <w:spacing w:before="120" w:after="0"/>
              <w:rPr/>
            </w:pPr>
            <w:r>
              <w:rPr/>
              <w:t>1</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200 ml</w:t>
            </w:r>
          </w:p>
        </w:tc>
        <w:tc>
          <w:tcPr>
            <w:tcW w:w="12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3</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5</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3</w:t>
            </w:r>
          </w:p>
        </w:tc>
        <w:tc>
          <w:tcPr>
            <w:tcW w:w="1210"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uppressLineNumbers/>
              <w:spacing w:before="120" w:after="0"/>
              <w:rPr/>
            </w:pPr>
            <w:r>
              <w:rPr/>
              <w:t>2</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300 ml</w:t>
            </w:r>
          </w:p>
        </w:tc>
        <w:tc>
          <w:tcPr>
            <w:tcW w:w="12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2</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3</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1</w:t>
            </w:r>
          </w:p>
        </w:tc>
        <w:tc>
          <w:tcPr>
            <w:tcW w:w="1210"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uppressLineNumbers/>
              <w:spacing w:before="120" w:after="0"/>
              <w:rPr/>
            </w:pPr>
            <w:r>
              <w:rPr/>
              <w:t>5</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400 ml</w:t>
            </w:r>
          </w:p>
        </w:tc>
        <w:tc>
          <w:tcPr>
            <w:tcW w:w="12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5</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2</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2</w:t>
            </w:r>
          </w:p>
        </w:tc>
        <w:tc>
          <w:tcPr>
            <w:tcW w:w="1210"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uppressLineNumbers/>
              <w:spacing w:before="120" w:after="0"/>
              <w:rPr/>
            </w:pPr>
            <w:r>
              <w:rPr/>
              <w:t>4</w:t>
            </w:r>
          </w:p>
        </w:tc>
      </w:tr>
      <w:tr>
        <w:trPr/>
        <w:tc>
          <w:tcPr>
            <w:tcW w:w="120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500 ml</w:t>
            </w:r>
          </w:p>
        </w:tc>
        <w:tc>
          <w:tcPr>
            <w:tcW w:w="12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1</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4</w:t>
            </w:r>
          </w:p>
        </w:tc>
        <w:tc>
          <w:tcPr>
            <w:tcW w:w="12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120" w:after="0"/>
              <w:rPr/>
            </w:pPr>
            <w:r>
              <w:rPr/>
              <w:t>4</w:t>
            </w:r>
          </w:p>
        </w:tc>
        <w:tc>
          <w:tcPr>
            <w:tcW w:w="1210" w:type="dxa"/>
            <w:tcBorders>
              <w:top w:val="single" w:sz="2" w:space="0" w:color="000000"/>
              <w:left w:val="single" w:sz="2" w:space="0" w:color="000000"/>
              <w:bottom w:val="single" w:sz="2" w:space="0" w:color="000000"/>
              <w:right w:val="single" w:sz="4" w:space="0" w:color="000000"/>
              <w:insideH w:val="single" w:sz="2" w:space="0" w:color="000000"/>
              <w:insideV w:val="single" w:sz="4" w:space="0" w:color="000000"/>
            </w:tcBorders>
            <w:shd w:fill="auto" w:val="clear"/>
          </w:tcPr>
          <w:p>
            <w:pPr>
              <w:pStyle w:val="TableContents"/>
              <w:suppressLineNumbers/>
              <w:spacing w:before="120" w:after="0"/>
              <w:rPr/>
            </w:pPr>
            <w:r>
              <w:rPr/>
              <w:t>3</w:t>
            </w:r>
          </w:p>
        </w:tc>
      </w:tr>
    </w:tbl>
    <w:p>
      <w:pPr>
        <w:pStyle w:val="Caption1"/>
        <w:rPr/>
      </w:pPr>
      <w:r>
        <w:rPr/>
        <w:t xml:space="preserve">Tabelle </w:t>
      </w:r>
      <w:r>
        <w:rPr/>
        <w:fldChar w:fldCharType="begin"/>
      </w:r>
      <w:r>
        <w:rPr/>
        <w:instrText> SEQ Tabelle \* ARABIC </w:instrText>
      </w:r>
      <w:r>
        <w:rPr/>
        <w:fldChar w:fldCharType="separate"/>
      </w:r>
      <w:r>
        <w:rPr/>
        <w:t>1</w:t>
      </w:r>
      <w:r>
        <w:rPr/>
        <w:fldChar w:fldCharType="end"/>
      </w:r>
      <w:r>
        <w:rPr/>
        <w:t>: Messreihenfolge</w:t>
      </w:r>
    </w:p>
    <w:p>
      <w:pPr>
        <w:pStyle w:val="Normal"/>
        <w:rPr/>
      </w:pPr>
      <w:r>
        <w:rPr/>
      </w:r>
      <w:r>
        <w:br w:type="page"/>
      </w:r>
    </w:p>
    <w:p>
      <w:pPr>
        <w:pStyle w:val="Heading1"/>
        <w:numPr>
          <w:ilvl w:val="0"/>
          <w:numId w:val="2"/>
        </w:numPr>
        <w:ind w:left="720" w:hanging="720"/>
        <w:rPr/>
      </w:pPr>
      <w:r>
        <w:rPr/>
        <w:t>Messanleitung</w:t>
      </w:r>
    </w:p>
    <w:p>
      <w:pPr>
        <w:pStyle w:val="Normal"/>
        <w:rPr/>
      </w:pPr>
      <w:r>
        <w:rPr/>
        <w:t>Vor der Messung:</w:t>
      </w:r>
    </w:p>
    <w:p>
      <w:pPr>
        <w:pStyle w:val="Normal"/>
        <w:rPr/>
      </w:pPr>
      <w:r>
        <w:rPr/>
        <w:t xml:space="preserve">Zur Messung wird eine handelsübliche elektronische Küchenwaage mit einer Genauigkeit von einem Gramm benötigt. Dazu wird noch ein Messbecher mit Markierungen in 100 ml Schritten von 0 bis 500 ml gebraucht. Diese sollten sauber und trocken sein. </w:t>
      </w:r>
    </w:p>
    <w:p>
      <w:pPr>
        <w:pStyle w:val="Normal"/>
        <w:rPr/>
      </w:pPr>
      <w:r>
        <w:rPr/>
        <w:t>Messablauf:</w:t>
      </w:r>
    </w:p>
    <w:p>
      <w:pPr>
        <w:pStyle w:val="Normal"/>
        <w:rPr/>
      </w:pPr>
      <w:r>
        <w:rPr/>
        <w:t xml:space="preserve">Die Waage wird auf einer ebenen Oberfläche abgestellt, so dass sie stabil steht und nicht wackelt. Die Waage wird eingeschaltet. Der Messbecher soll mittig aufgestellt werden und die Waage entsprechend tariert werden. Das Wasser wird langsam bis zum gewünschten Wert (Striche Messbecher) eingefüllt. Der Füllstrich muss auf Augenhöhe abgelesen werden. </w:t>
      </w:r>
      <w:r>
        <w:rPr/>
        <w:t>H</w:t>
      </w:r>
      <w:r>
        <w:rPr/>
        <w:t>ierfür wird der Messbecher am besten auf eine ebene Fläche abgestellt und der Wert abgelesen, sobald sich das Wasser beruhigt hat. Der Messbecher wird mittig auf die Waage gestellt und der Messwert der Waage abgelesen und notiert. Der Becher wird geleert und Waage, sowie Becher abgetrocknet.</w:t>
      </w:r>
    </w:p>
    <w:p>
      <w:pPr>
        <w:pStyle w:val="Heading1"/>
        <w:numPr>
          <w:ilvl w:val="0"/>
          <w:numId w:val="2"/>
        </w:numPr>
        <w:ind w:left="720" w:hanging="720"/>
        <w:rPr/>
      </w:pPr>
      <w:r>
        <w:rPr/>
        <w:t>Auswertung</w:t>
      </w:r>
    </w:p>
    <w:p>
      <w:pPr>
        <w:pStyle w:val="Normal"/>
        <w:rPr/>
      </w:pPr>
      <w:r>
        <w:rPr/>
        <w:t>Anbei als PDF und MLX.</w:t>
      </w:r>
    </w:p>
    <w:p>
      <w:pPr>
        <w:pStyle w:val="Normal"/>
        <w:rPr/>
      </w:pPr>
      <w:r>
        <w:rPr/>
      </w:r>
    </w:p>
    <w:p>
      <w:pPr>
        <w:pStyle w:val="Normal"/>
        <w:rPr/>
      </w:pPr>
      <w:r>
        <w:rPr/>
      </w:r>
    </w:p>
    <w:p>
      <w:pPr>
        <w:pStyle w:val="Heading1"/>
        <w:numPr>
          <w:ilvl w:val="0"/>
          <w:numId w:val="2"/>
        </w:numPr>
        <w:ind w:left="720" w:hanging="720"/>
        <w:rPr/>
      </w:pPr>
      <w:r>
        <w:rPr/>
        <w:t>Diskussion</w:t>
      </w:r>
    </w:p>
    <w:p>
      <w:pPr>
        <w:pStyle w:val="Normal"/>
        <w:rPr/>
      </w:pPr>
      <w:r>
        <w:rPr/>
        <w:t>In Verfahren 1 zur Messsystemanalyse ergaben die Fähigkeitskennzahl, von den vier Pr</w:t>
      </w:r>
      <w:r>
        <w:rPr>
          <w:rFonts w:ascii="Times New Roman" w:hAnsi="Times New Roman"/>
          <w:color w:val="auto"/>
          <w:sz w:val="24"/>
          <w:szCs w:val="24"/>
        </w:rPr>
        <w:t xml:space="preserve">üfern, Werte zwischen 2.1146 (Jan) und 7.5602 (Michael). Die kritische Fähigkeitskennzahl liegt zwischen 2.1129 (Jan) und 6.5199 (Michael) und war bei jedem Prüfer geringer als die Fähigkeitskennzahl. Die Fähigkeitskennzahl ist größer als 1.33 und die kritische Fähigkeitskennzahl größer als 1.0. Die Standardverteilung liegt somit innerhalb der Toleranzgrenzen der Spezifikationsgrenzen. Die Streuung der Messwerte ist außerdem gering (Minimum </w:t>
      </w:r>
      <w:r>
        <w:rPr>
          <w:rFonts w:cs="GreekC" w:ascii="Times New Roman" w:hAnsi="Times New Roman"/>
          <w:color w:val="auto"/>
          <w:sz w:val="24"/>
          <w:szCs w:val="24"/>
        </w:rPr>
        <w:t>s</w:t>
      </w:r>
      <w:r>
        <w:rPr>
          <w:rFonts w:ascii="Times New Roman" w:hAnsi="Times New Roman"/>
          <w:color w:val="auto"/>
          <w:sz w:val="24"/>
          <w:szCs w:val="24"/>
        </w:rPr>
        <w:t xml:space="preserve">: </w:t>
      </w:r>
      <w:r>
        <w:rPr>
          <w:rFonts w:ascii="Times New Roman" w:hAnsi="Times New Roman"/>
          <w:color w:val="auto"/>
          <w:sz w:val="24"/>
          <w:szCs w:val="24"/>
        </w:rPr>
        <w:t xml:space="preserve">2.2045 (Michael) und Maximum </w:t>
      </w:r>
      <w:r>
        <w:rPr>
          <w:rFonts w:cs="GreekC" w:ascii="Times New Roman" w:hAnsi="Times New Roman"/>
          <w:color w:val="auto"/>
          <w:sz w:val="24"/>
          <w:szCs w:val="24"/>
        </w:rPr>
        <w:t>s:</w:t>
      </w:r>
      <w:r>
        <w:rPr>
          <w:rFonts w:ascii="Times New Roman" w:hAnsi="Times New Roman"/>
          <w:color w:val="auto"/>
          <w:sz w:val="24"/>
          <w:szCs w:val="24"/>
        </w:rPr>
        <w:t xml:space="preserve"> 7.8818 (Jan))</w:t>
      </w:r>
      <w:r>
        <w:rPr>
          <w:rFonts w:ascii="Times New Roman" w:hAnsi="Times New Roman"/>
          <w:color w:val="auto"/>
          <w:sz w:val="24"/>
          <w:szCs w:val="24"/>
        </w:rPr>
        <w:t xml:space="preserve">. Der Messprozess wird nach Verfahren 1 als geeignet eingestuft, die Messanleitung entspricht den Anforderungen. Die Bedingungen für die Durchführung des Verfahrens 2 </w:t>
      </w:r>
      <w:r>
        <w:rPr>
          <w:rFonts w:ascii="Times New Roman" w:hAnsi="Times New Roman"/>
          <w:color w:val="auto"/>
          <w:sz w:val="24"/>
          <w:szCs w:val="24"/>
        </w:rPr>
        <w:t>sind</w:t>
      </w:r>
      <w:r>
        <w:rPr>
          <w:rFonts w:ascii="Times New Roman" w:hAnsi="Times New Roman"/>
          <w:color w:val="auto"/>
          <w:sz w:val="24"/>
          <w:szCs w:val="24"/>
        </w:rPr>
        <w:t xml:space="preserve"> somit erfüllt.</w:t>
      </w:r>
    </w:p>
    <w:p>
      <w:pPr>
        <w:pStyle w:val="Normal"/>
        <w:rPr>
          <w:rFonts w:ascii="Times New Roman" w:hAnsi="Times New Roman"/>
          <w:color w:val="auto"/>
          <w:sz w:val="24"/>
          <w:szCs w:val="24"/>
        </w:rPr>
      </w:pPr>
      <w:r>
        <w:rPr>
          <w:rFonts w:ascii="Times New Roman" w:hAnsi="Times New Roman"/>
          <w:color w:val="auto"/>
          <w:sz w:val="24"/>
          <w:szCs w:val="24"/>
        </w:rPr>
      </w:r>
    </w:p>
    <w:p>
      <w:pPr>
        <w:pStyle w:val="Normal"/>
        <w:rPr/>
      </w:pPr>
      <w:r>
        <w:rPr>
          <w:rFonts w:ascii="Times New Roman" w:hAnsi="Times New Roman"/>
          <w:color w:val="auto"/>
          <w:sz w:val="24"/>
          <w:szCs w:val="24"/>
        </w:rPr>
        <w:t>Die Linearität ist bei den Messungen für Verfahren 2 der Messsystemanalyse der verschiedenen Prüfer immer gegeben. Die Referenzgerade verläuft durch den Ursprung ohne eine systematische Abweichung. Es besteht keine signifikante Streuung</w:t>
      </w:r>
      <w:r>
        <w:rPr/>
        <w:t xml:space="preserve"> der Messwerte. Sowohl die Messewerte aus den zeitlich unterschiedlichen Messungen eines Prüfers, als auch die verschiedenen Durchführungen der Prüfer A und B zeigten keine systematischen Abweichungen.</w:t>
      </w:r>
    </w:p>
    <w:p>
      <w:pPr>
        <w:pStyle w:val="Normal"/>
        <w:rPr/>
      </w:pPr>
      <w:r>
        <w:rPr/>
      </w:r>
    </w:p>
    <w:tbl>
      <w:tblPr>
        <w:tblStyle w:val="TableGrid"/>
        <w:tblW w:w="8721" w:type="dxa"/>
        <w:jc w:val="left"/>
        <w:tblInd w:w="0" w:type="dxa"/>
        <w:tblCellMar>
          <w:top w:w="0" w:type="dxa"/>
          <w:left w:w="108" w:type="dxa"/>
          <w:bottom w:w="0" w:type="dxa"/>
          <w:right w:w="108" w:type="dxa"/>
        </w:tblCellMar>
        <w:tblLook w:noVBand="1" w:val="04a0" w:noHBand="0" w:lastColumn="0" w:firstColumn="1" w:lastRow="0" w:firstRow="1"/>
      </w:tblPr>
      <w:tblGrid>
        <w:gridCol w:w="1744"/>
        <w:gridCol w:w="1744"/>
        <w:gridCol w:w="1744"/>
        <w:gridCol w:w="1744"/>
        <w:gridCol w:w="1745"/>
      </w:tblGrid>
      <w:tr>
        <w:trPr/>
        <w:tc>
          <w:tcPr>
            <w:tcW w:w="1744" w:type="dxa"/>
            <w:tcBorders/>
            <w:shd w:fill="auto" w:val="clear"/>
          </w:tcPr>
          <w:p>
            <w:pPr>
              <w:pStyle w:val="Normal"/>
              <w:widowControl/>
              <w:suppressAutoHyphens w:val="false"/>
              <w:overflowPunct w:val="true"/>
              <w:bidi w:val="0"/>
              <w:spacing w:lineRule="auto" w:line="312" w:before="120" w:after="0"/>
              <w:jc w:val="both"/>
              <w:rPr/>
            </w:pPr>
            <w:r>
              <w:rPr/>
            </w:r>
          </w:p>
        </w:tc>
        <w:tc>
          <w:tcPr>
            <w:tcW w:w="1744" w:type="dxa"/>
            <w:tcBorders/>
            <w:shd w:fill="auto" w:val="clear"/>
          </w:tcPr>
          <w:p>
            <w:pPr>
              <w:pStyle w:val="Normal"/>
              <w:widowControl/>
              <w:suppressAutoHyphens w:val="false"/>
              <w:overflowPunct w:val="true"/>
              <w:bidi w:val="0"/>
              <w:spacing w:lineRule="auto" w:line="312" w:before="120" w:after="0"/>
              <w:jc w:val="both"/>
              <w:rPr/>
            </w:pPr>
            <w:r>
              <w:rPr/>
              <w:t>Michael</w:t>
            </w:r>
          </w:p>
        </w:tc>
        <w:tc>
          <w:tcPr>
            <w:tcW w:w="1744" w:type="dxa"/>
            <w:tcBorders/>
            <w:shd w:fill="auto" w:val="clear"/>
          </w:tcPr>
          <w:p>
            <w:pPr>
              <w:pStyle w:val="Normal"/>
              <w:widowControl/>
              <w:suppressAutoHyphens w:val="false"/>
              <w:overflowPunct w:val="true"/>
              <w:bidi w:val="0"/>
              <w:spacing w:lineRule="auto" w:line="312" w:before="120" w:after="0"/>
              <w:jc w:val="both"/>
              <w:rPr/>
            </w:pPr>
            <w:r>
              <w:rPr/>
              <w:t>Benni</w:t>
            </w:r>
          </w:p>
        </w:tc>
        <w:tc>
          <w:tcPr>
            <w:tcW w:w="1744" w:type="dxa"/>
            <w:tcBorders/>
            <w:shd w:fill="auto" w:val="clear"/>
          </w:tcPr>
          <w:p>
            <w:pPr>
              <w:pStyle w:val="Normal"/>
              <w:widowControl/>
              <w:suppressAutoHyphens w:val="false"/>
              <w:overflowPunct w:val="true"/>
              <w:bidi w:val="0"/>
              <w:spacing w:lineRule="auto" w:line="312" w:before="120" w:after="0"/>
              <w:jc w:val="both"/>
              <w:rPr/>
            </w:pPr>
            <w:r>
              <w:rPr/>
              <w:t>Jan</w:t>
            </w:r>
          </w:p>
        </w:tc>
        <w:tc>
          <w:tcPr>
            <w:tcW w:w="1745" w:type="dxa"/>
            <w:tcBorders/>
            <w:shd w:fill="auto" w:val="clear"/>
          </w:tcPr>
          <w:p>
            <w:pPr>
              <w:pStyle w:val="Normal"/>
              <w:widowControl/>
              <w:suppressAutoHyphens w:val="false"/>
              <w:overflowPunct w:val="true"/>
              <w:bidi w:val="0"/>
              <w:spacing w:lineRule="auto" w:line="312" w:before="120" w:after="0"/>
              <w:jc w:val="both"/>
              <w:rPr/>
            </w:pPr>
            <w:r>
              <w:rPr/>
              <w:t>Anna</w:t>
            </w:r>
          </w:p>
        </w:tc>
      </w:tr>
      <w:tr>
        <w:trPr/>
        <w:tc>
          <w:tcPr>
            <w:tcW w:w="1744" w:type="dxa"/>
            <w:tcBorders/>
            <w:shd w:fill="auto" w:val="clear"/>
          </w:tcPr>
          <w:p>
            <w:pPr>
              <w:pStyle w:val="Normal"/>
              <w:widowControl/>
              <w:suppressAutoHyphens w:val="false"/>
              <w:overflowPunct w:val="true"/>
              <w:bidi w:val="0"/>
              <w:spacing w:lineRule="auto" w:line="312" w:before="120" w:after="0"/>
              <w:jc w:val="both"/>
              <w:rPr/>
            </w:pPr>
            <w:r>
              <w:rPr/>
              <w:t>GRR</w:t>
            </w:r>
          </w:p>
        </w:tc>
        <w:tc>
          <w:tcPr>
            <w:tcW w:w="1744" w:type="dxa"/>
            <w:tcBorders/>
            <w:shd w:fill="auto" w:val="clear"/>
          </w:tcPr>
          <w:p>
            <w:pPr>
              <w:pStyle w:val="Normal"/>
              <w:widowControl/>
              <w:suppressAutoHyphens w:val="false"/>
              <w:overflowPunct w:val="true"/>
              <w:bidi w:val="0"/>
              <w:spacing w:lineRule="auto" w:line="312" w:before="120" w:after="0"/>
              <w:jc w:val="both"/>
              <w:rPr/>
            </w:pPr>
            <w:r>
              <w:rPr/>
              <w:t>0.5000</w:t>
            </w:r>
          </w:p>
        </w:tc>
        <w:tc>
          <w:tcPr>
            <w:tcW w:w="1744" w:type="dxa"/>
            <w:tcBorders/>
            <w:shd w:fill="auto" w:val="clear"/>
          </w:tcPr>
          <w:p>
            <w:pPr>
              <w:pStyle w:val="Normal"/>
              <w:widowControl/>
              <w:suppressAutoHyphens w:val="false"/>
              <w:overflowPunct w:val="true"/>
              <w:bidi w:val="0"/>
              <w:spacing w:lineRule="auto" w:line="312" w:before="120" w:after="0"/>
              <w:jc w:val="both"/>
              <w:rPr/>
            </w:pPr>
            <w:r>
              <w:rPr/>
              <w:t>2.0125</w:t>
            </w:r>
          </w:p>
        </w:tc>
        <w:tc>
          <w:tcPr>
            <w:tcW w:w="1744" w:type="dxa"/>
            <w:tcBorders/>
            <w:shd w:fill="auto" w:val="clear"/>
          </w:tcPr>
          <w:p>
            <w:pPr>
              <w:pStyle w:val="Normal"/>
              <w:widowControl/>
              <w:suppressAutoHyphens w:val="false"/>
              <w:overflowPunct w:val="true"/>
              <w:bidi w:val="0"/>
              <w:spacing w:lineRule="auto" w:line="312" w:before="120" w:after="0"/>
              <w:jc w:val="both"/>
              <w:rPr/>
            </w:pPr>
            <w:r>
              <w:rPr/>
              <w:t>1.3443</w:t>
            </w:r>
          </w:p>
        </w:tc>
        <w:tc>
          <w:tcPr>
            <w:tcW w:w="1745" w:type="dxa"/>
            <w:tcBorders/>
            <w:shd w:fill="auto" w:val="clear"/>
          </w:tcPr>
          <w:p>
            <w:pPr>
              <w:pStyle w:val="Normal"/>
              <w:widowControl/>
              <w:suppressAutoHyphens w:val="false"/>
              <w:overflowPunct w:val="true"/>
              <w:bidi w:val="0"/>
              <w:spacing w:lineRule="auto" w:line="312" w:before="120" w:after="0"/>
              <w:jc w:val="both"/>
              <w:rPr/>
            </w:pPr>
            <w:r>
              <w:rPr/>
              <w:t>2.8964</w:t>
            </w:r>
          </w:p>
        </w:tc>
      </w:tr>
      <w:tr>
        <w:trPr/>
        <w:tc>
          <w:tcPr>
            <w:tcW w:w="1744" w:type="dxa"/>
            <w:tcBorders/>
            <w:shd w:fill="auto" w:val="clear"/>
          </w:tcPr>
          <w:p>
            <w:pPr>
              <w:pStyle w:val="Normal"/>
              <w:widowControl/>
              <w:suppressAutoHyphens w:val="false"/>
              <w:overflowPunct w:val="true"/>
              <w:bidi w:val="0"/>
              <w:spacing w:lineRule="auto" w:line="312" w:before="120" w:after="0"/>
              <w:jc w:val="both"/>
              <w:rPr/>
            </w:pPr>
            <w:r>
              <w:rPr/>
              <w:t>%GRR in %</w:t>
            </w:r>
          </w:p>
        </w:tc>
        <w:tc>
          <w:tcPr>
            <w:tcW w:w="1744" w:type="dxa"/>
            <w:tcBorders/>
            <w:shd w:fill="auto" w:val="clear"/>
          </w:tcPr>
          <w:p>
            <w:pPr>
              <w:pStyle w:val="Normal"/>
              <w:widowControl/>
              <w:suppressAutoHyphens w:val="false"/>
              <w:overflowPunct w:val="true"/>
              <w:bidi w:val="0"/>
              <w:spacing w:lineRule="auto" w:line="312" w:before="120" w:after="0"/>
              <w:jc w:val="both"/>
              <w:rPr/>
            </w:pPr>
            <w:r>
              <w:rPr/>
              <w:t>0.31</w:t>
            </w:r>
          </w:p>
        </w:tc>
        <w:tc>
          <w:tcPr>
            <w:tcW w:w="1744" w:type="dxa"/>
            <w:tcBorders/>
            <w:shd w:fill="auto" w:val="clear"/>
          </w:tcPr>
          <w:p>
            <w:pPr>
              <w:pStyle w:val="Normal"/>
              <w:widowControl/>
              <w:suppressAutoHyphens w:val="false"/>
              <w:overflowPunct w:val="true"/>
              <w:bidi w:val="0"/>
              <w:spacing w:lineRule="auto" w:line="312" w:before="120" w:after="0"/>
              <w:jc w:val="both"/>
              <w:rPr/>
            </w:pPr>
            <w:r>
              <w:rPr/>
              <w:t>1.27</w:t>
            </w:r>
          </w:p>
        </w:tc>
        <w:tc>
          <w:tcPr>
            <w:tcW w:w="1744" w:type="dxa"/>
            <w:tcBorders/>
            <w:shd w:fill="auto" w:val="clear"/>
          </w:tcPr>
          <w:p>
            <w:pPr>
              <w:pStyle w:val="Normal"/>
              <w:widowControl/>
              <w:suppressAutoHyphens w:val="false"/>
              <w:overflowPunct w:val="true"/>
              <w:bidi w:val="0"/>
              <w:spacing w:lineRule="auto" w:line="312" w:before="120" w:after="0"/>
              <w:jc w:val="both"/>
              <w:rPr/>
            </w:pPr>
            <w:r>
              <w:rPr/>
              <w:t>0.85</w:t>
            </w:r>
          </w:p>
        </w:tc>
        <w:tc>
          <w:tcPr>
            <w:tcW w:w="1745" w:type="dxa"/>
            <w:tcBorders/>
            <w:shd w:fill="auto" w:val="clear"/>
          </w:tcPr>
          <w:p>
            <w:pPr>
              <w:pStyle w:val="Normal"/>
              <w:keepNext w:val="true"/>
              <w:spacing w:before="120" w:after="0"/>
              <w:rPr/>
            </w:pPr>
            <w:r>
              <w:rPr/>
              <w:t>1.82</w:t>
            </w:r>
          </w:p>
        </w:tc>
      </w:tr>
    </w:tbl>
    <w:p>
      <w:pPr>
        <w:pStyle w:val="Caption1"/>
        <w:rPr/>
      </w:pPr>
      <w:r>
        <w:rPr/>
        <w:t xml:space="preserve">Tabelle </w:t>
      </w:r>
      <w:r>
        <w:rPr/>
        <w:fldChar w:fldCharType="begin"/>
      </w:r>
      <w:r>
        <w:rPr/>
        <w:instrText> SEQ Tabelle \* ARABIC </w:instrText>
      </w:r>
      <w:r>
        <w:rPr/>
        <w:fldChar w:fldCharType="separate"/>
      </w:r>
      <w:r>
        <w:rPr/>
        <w:t>2</w:t>
      </w:r>
      <w:r>
        <w:rPr/>
        <w:fldChar w:fldCharType="end"/>
      </w:r>
      <w:r>
        <w:rPr/>
        <w:t>: GRR und %GRR der Prüfer</w:t>
      </w:r>
    </w:p>
    <w:p>
      <w:pPr>
        <w:pStyle w:val="Normal"/>
        <w:rPr/>
      </w:pPr>
      <w:r>
        <w:rPr/>
        <w:t>In Verfahren 2 zur Messsystemanalyse beträgt die Streuung der Gage Repeatability and Reproducibility (GRR) zwischen 0.5 (Michael) und 2.9 (Anna), siehe Tabelle 2.</w:t>
      </w:r>
    </w:p>
    <w:p>
      <w:pPr>
        <w:pStyle w:val="Normal"/>
        <w:rPr/>
      </w:pPr>
      <w:r>
        <w:rPr/>
        <w:t xml:space="preserve">Der %GRR in Bezug zur Gesamtstreuung liegt im Bereich zwischen 0.31 % (Michael) und 1.82 % (Anna), siehe Tabelle 2. Da der %GRR zwischen 0 % und 20 % liegt, ist das Messgerät, der Messbecher, geeignet für Flüssigkeitsabmessungen mit der vordefinierten Toleranzgrenze. </w:t>
      </w:r>
    </w:p>
    <w:p>
      <w:pPr>
        <w:pStyle w:val="Normal"/>
        <w:rPr/>
      </w:pPr>
      <w:r>
        <w:rPr/>
      </w:r>
    </w:p>
    <w:sectPr>
      <w:footerReference w:type="default" r:id="rId2"/>
      <w:type w:val="nextPage"/>
      <w:pgSz w:w="11906" w:h="16838"/>
      <w:pgMar w:left="1985" w:right="1416" w:header="0" w:top="1418" w:footer="1134" w:bottom="181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right"/>
      <w:rPr/>
    </w:pPr>
    <w:r>
      <w:rPr/>
      <w:fldChar w:fldCharType="begin"/>
    </w:r>
    <w:r>
      <w:rPr/>
      <w:instrText> PAGE </w:instrText>
    </w:r>
    <w:r>
      <w:rPr/>
      <w:fldChar w:fldCharType="separate"/>
    </w:r>
    <w:r>
      <w:rPr/>
      <w:t>5</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80"/>
        </w:tabs>
        <w:ind w:left="680" w:hanging="680"/>
      </w:pPr>
    </w:lvl>
    <w:lvl w:ilvl="1">
      <w:start w:val="1"/>
      <w:pStyle w:val="Heading2"/>
      <w:numFmt w:val="decimal"/>
      <w:lvlText w:val="%1.%2"/>
      <w:lvlJc w:val="left"/>
      <w:pPr>
        <w:tabs>
          <w:tab w:val="num" w:pos="680"/>
        </w:tabs>
        <w:ind w:left="680" w:hanging="680"/>
      </w:pPr>
    </w:lvl>
    <w:lvl w:ilvl="2">
      <w:start w:val="1"/>
      <w:pStyle w:val="Heading3"/>
      <w:numFmt w:val="decimal"/>
      <w:lvlText w:val="%1.%2.%3"/>
      <w:lvlJc w:val="left"/>
      <w:pPr>
        <w:tabs>
          <w:tab w:val="num" w:pos="680"/>
        </w:tabs>
        <w:ind w:left="680" w:hanging="68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2160"/>
        </w:tabs>
        <w:ind w:left="1584" w:hanging="1584"/>
      </w:pPr>
    </w:lvl>
  </w:abstractNum>
  <w:abstractNum w:abstractNumId="2">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357"/>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overflowPunct w:val="true"/>
      <w:bidi w:val="0"/>
      <w:spacing w:lineRule="auto" w:line="312" w:before="120" w:after="0"/>
      <w:jc w:val="both"/>
    </w:pPr>
    <w:rPr>
      <w:rFonts w:ascii="Times New Roman" w:hAnsi="Times New Roman" w:eastAsia="Times New Roman" w:cs="Times New Roman"/>
      <w:color w:val="auto"/>
      <w:kern w:val="0"/>
      <w:sz w:val="24"/>
      <w:szCs w:val="20"/>
      <w:lang w:val="de-DE" w:eastAsia="de-DE" w:bidi="ar-SA"/>
    </w:rPr>
  </w:style>
  <w:style w:type="paragraph" w:styleId="Heading1">
    <w:name w:val="Heading 1"/>
    <w:basedOn w:val="Normal"/>
    <w:next w:val="Normal"/>
    <w:uiPriority w:val="9"/>
    <w:qFormat/>
    <w:pPr>
      <w:keepNext w:val="true"/>
      <w:pageBreakBefore/>
      <w:numPr>
        <w:ilvl w:val="0"/>
        <w:numId w:val="1"/>
      </w:numPr>
      <w:tabs>
        <w:tab w:val="left" w:pos="720" w:leader="none"/>
      </w:tabs>
      <w:suppressAutoHyphens w:val="true"/>
      <w:spacing w:before="720" w:after="0"/>
      <w:ind w:left="720" w:hanging="720"/>
      <w:jc w:val="left"/>
      <w:outlineLvl w:val="0"/>
    </w:pPr>
    <w:rPr>
      <w:rFonts w:ascii="Arial" w:hAnsi="Arial"/>
      <w:b/>
      <w:kern w:val="2"/>
      <w:sz w:val="32"/>
    </w:rPr>
  </w:style>
  <w:style w:type="paragraph" w:styleId="Heading2">
    <w:name w:val="Heading 2"/>
    <w:basedOn w:val="Heading1"/>
    <w:next w:val="Normal"/>
    <w:uiPriority w:val="9"/>
    <w:semiHidden/>
    <w:unhideWhenUsed/>
    <w:qFormat/>
    <w:pPr>
      <w:pageBreakBefore w:val="false"/>
      <w:numPr>
        <w:ilvl w:val="1"/>
        <w:numId w:val="1"/>
      </w:numPr>
      <w:spacing w:before="480" w:after="0"/>
      <w:ind w:left="720" w:hanging="720"/>
      <w:outlineLvl w:val="1"/>
    </w:pPr>
    <w:rPr>
      <w:sz w:val="28"/>
    </w:rPr>
  </w:style>
  <w:style w:type="paragraph" w:styleId="Heading3">
    <w:name w:val="Heading 3"/>
    <w:basedOn w:val="Heading2"/>
    <w:next w:val="Normal"/>
    <w:uiPriority w:val="9"/>
    <w:semiHidden/>
    <w:unhideWhenUsed/>
    <w:qFormat/>
    <w:pPr>
      <w:numPr>
        <w:ilvl w:val="2"/>
        <w:numId w:val="1"/>
      </w:numPr>
      <w:spacing w:before="360" w:after="0"/>
      <w:ind w:left="720" w:hanging="720"/>
      <w:outlineLvl w:val="2"/>
    </w:pPr>
    <w:rPr>
      <w:sz w:val="24"/>
    </w:rPr>
  </w:style>
  <w:style w:type="paragraph" w:styleId="Heading4">
    <w:name w:val="Heading 4"/>
    <w:basedOn w:val="Heading3"/>
    <w:next w:val="Normal"/>
    <w:uiPriority w:val="9"/>
    <w:semiHidden/>
    <w:unhideWhenUsed/>
    <w:qFormat/>
    <w:pPr>
      <w:numPr>
        <w:ilvl w:val="3"/>
        <w:numId w:val="1"/>
      </w:numPr>
      <w:spacing w:before="240" w:after="0"/>
      <w:ind w:left="720" w:hanging="720"/>
      <w:outlineLvl w:val="3"/>
    </w:pPr>
    <w:rPr>
      <w:b w:val="false"/>
    </w:rPr>
  </w:style>
  <w:style w:type="paragraph" w:styleId="Heading5">
    <w:name w:val="Heading 5"/>
    <w:basedOn w:val="Heading4"/>
    <w:next w:val="Normal"/>
    <w:uiPriority w:val="9"/>
    <w:semiHidden/>
    <w:unhideWhenUsed/>
    <w:qFormat/>
    <w:pPr>
      <w:numPr>
        <w:ilvl w:val="4"/>
        <w:numId w:val="1"/>
      </w:numPr>
      <w:ind w:left="720" w:hanging="720"/>
      <w:outlineLvl w:val="4"/>
    </w:pPr>
    <w:rPr/>
  </w:style>
  <w:style w:type="paragraph" w:styleId="Heading6">
    <w:name w:val="Heading 6"/>
    <w:basedOn w:val="Heading5"/>
    <w:next w:val="Normal"/>
    <w:uiPriority w:val="9"/>
    <w:semiHidden/>
    <w:unhideWhenUsed/>
    <w:qFormat/>
    <w:pPr>
      <w:numPr>
        <w:ilvl w:val="5"/>
        <w:numId w:val="1"/>
      </w:numPr>
      <w:ind w:left="720" w:hanging="720"/>
      <w:outlineLvl w:val="5"/>
    </w:pPr>
    <w:rPr/>
  </w:style>
  <w:style w:type="paragraph" w:styleId="Heading7">
    <w:name w:val="Heading 7"/>
    <w:basedOn w:val="Heading6"/>
    <w:next w:val="Normal"/>
    <w:qFormat/>
    <w:pPr>
      <w:numPr>
        <w:ilvl w:val="6"/>
        <w:numId w:val="1"/>
      </w:numPr>
      <w:ind w:left="720" w:hanging="720"/>
      <w:outlineLvl w:val="6"/>
    </w:pPr>
    <w:rPr/>
  </w:style>
  <w:style w:type="paragraph" w:styleId="Heading8">
    <w:name w:val="Heading 8"/>
    <w:basedOn w:val="Heading7"/>
    <w:next w:val="Normal"/>
    <w:qFormat/>
    <w:pPr>
      <w:numPr>
        <w:ilvl w:val="7"/>
        <w:numId w:val="1"/>
      </w:numPr>
      <w:ind w:left="720" w:hanging="720"/>
      <w:outlineLvl w:val="7"/>
    </w:pPr>
    <w:rPr/>
  </w:style>
  <w:style w:type="paragraph" w:styleId="Heading9">
    <w:name w:val="Heading 9"/>
    <w:basedOn w:val="Heading8"/>
    <w:next w:val="Normal"/>
    <w:qFormat/>
    <w:pPr>
      <w:numPr>
        <w:ilvl w:val="8"/>
        <w:numId w:val="1"/>
      </w:numPr>
      <w:ind w:left="720" w:hanging="72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qFormat/>
    <w:rPr>
      <w:sz w:val="16"/>
    </w:rPr>
  </w:style>
  <w:style w:type="character" w:styleId="InternetLink" w:customStyle="1">
    <w:name w:val="Internet Link"/>
    <w:rPr>
      <w:color w:val="0000FF"/>
      <w:u w:val="single"/>
    </w:rPr>
  </w:style>
  <w:style w:type="character" w:styleId="Pagenumber">
    <w:name w:val="page number"/>
    <w:basedOn w:val="DefaultParagraphFont"/>
    <w:qFormat/>
    <w:rPr/>
  </w:style>
  <w:style w:type="character" w:styleId="FootnoteCharacters" w:customStyle="1">
    <w:name w:val="Footnote Characters"/>
    <w:qFormat/>
    <w:rPr>
      <w:sz w:val="20"/>
      <w:vertAlign w:val="superscript"/>
    </w:rPr>
  </w:style>
  <w:style w:type="character" w:styleId="FootnoteAnchor" w:customStyle="1">
    <w:name w:val="Footnote Anchor"/>
    <w:rPr>
      <w:sz w:val="20"/>
      <w:vertAlign w:val="superscript"/>
    </w:rPr>
  </w:style>
  <w:style w:type="character" w:styleId="BalloonTextChar" w:customStyle="1">
    <w:name w:val="Balloon Text Char"/>
    <w:basedOn w:val="DefaultParagraphFont"/>
    <w:qFormat/>
    <w:rPr>
      <w:rFonts w:ascii="Tahoma" w:hAnsi="Tahoma" w:cs="Tahoma"/>
      <w:sz w:val="16"/>
      <w:szCs w:val="16"/>
    </w:rPr>
  </w:style>
  <w:style w:type="character" w:styleId="SubtitleChar" w:customStyle="1">
    <w:name w:val="Subtitle Char"/>
    <w:qFormat/>
    <w:rPr>
      <w:rFonts w:ascii="Arial" w:hAnsi="Arial"/>
      <w:sz w:val="32"/>
    </w:rPr>
  </w:style>
  <w:style w:type="character" w:styleId="TitleChar" w:customStyle="1">
    <w:name w:val="Title Char"/>
    <w:basedOn w:val="DefaultParagraphFont"/>
    <w:qFormat/>
    <w:rPr>
      <w:rFonts w:ascii="Arial" w:hAnsi="Arial"/>
      <w:b/>
      <w:kern w:val="2"/>
      <w:sz w:val="44"/>
    </w:rPr>
  </w:style>
  <w:style w:type="character" w:styleId="CommentTextChar" w:customStyle="1">
    <w:name w:val="Comment Text Char"/>
    <w:basedOn w:val="DefaultParagraphFont"/>
    <w:qFormat/>
    <w:rPr>
      <w:sz w:val="24"/>
    </w:rPr>
  </w:style>
  <w:style w:type="character" w:styleId="CommentSubjectChar" w:customStyle="1">
    <w:name w:val="Comment Subject Char"/>
    <w:basedOn w:val="CommentTextChar"/>
    <w:qFormat/>
    <w:rPr>
      <w:b/>
      <w:bCs/>
      <w:sz w:val="24"/>
    </w:rPr>
  </w:style>
  <w:style w:type="character" w:styleId="PlaceholderText">
    <w:name w:val="Placeholder Text"/>
    <w:basedOn w:val="DefaultParagraphFont"/>
    <w:qFormat/>
    <w:rPr>
      <w:color w:val="808080"/>
    </w:rPr>
  </w:style>
  <w:style w:type="character" w:styleId="ListLabel1" w:customStyle="1">
    <w:name w:val="ListLabel 1"/>
    <w:qFormat/>
    <w:rPr>
      <w:w w:val="100"/>
      <w:sz w:val="22"/>
    </w:rPr>
  </w:style>
  <w:style w:type="character" w:styleId="ListLabel2" w:customStyle="1">
    <w:name w:val="ListLabel 2"/>
    <w:qFormat/>
    <w:rPr>
      <w:w w:val="100"/>
      <w:sz w:val="22"/>
    </w:rPr>
  </w:style>
  <w:style w:type="character" w:styleId="ListLabel3" w:customStyle="1">
    <w:name w:val="ListLabel 3"/>
    <w:qFormat/>
    <w:rPr>
      <w:w w:val="100"/>
      <w:sz w:val="22"/>
    </w:rPr>
  </w:style>
  <w:style w:type="character" w:styleId="ListLabel4" w:customStyle="1">
    <w:name w:val="ListLabel 4"/>
    <w:qFormat/>
    <w:rPr>
      <w:w w:val="100"/>
      <w:sz w:val="22"/>
    </w:rPr>
  </w:style>
  <w:style w:type="character" w:styleId="ListLabel5" w:customStyle="1">
    <w:name w:val="ListLabel 5"/>
    <w:qFormat/>
    <w:rPr>
      <w:w w:val="100"/>
      <w:sz w:val="22"/>
    </w:rPr>
  </w:style>
  <w:style w:type="character" w:styleId="ListLabel6" w:customStyle="1">
    <w:name w:val="ListLabel 6"/>
    <w:qFormat/>
    <w:rPr>
      <w:w w:val="100"/>
      <w:sz w:val="22"/>
    </w:rPr>
  </w:style>
  <w:style w:type="character" w:styleId="ListLabel7" w:customStyle="1">
    <w:name w:val="ListLabel 7"/>
    <w:qFormat/>
    <w:rPr>
      <w:w w:val="100"/>
      <w:sz w:val="22"/>
    </w:rPr>
  </w:style>
  <w:style w:type="character" w:styleId="ListLabel8" w:customStyle="1">
    <w:name w:val="ListLabel 8"/>
    <w:qFormat/>
    <w:rPr>
      <w:w w:val="100"/>
      <w:sz w:val="22"/>
    </w:rPr>
  </w:style>
  <w:style w:type="character" w:styleId="ListLabel9" w:customStyle="1">
    <w:name w:val="ListLabel 9"/>
    <w:qFormat/>
    <w:rPr>
      <w:w w:val="100"/>
      <w:sz w:val="22"/>
    </w:rPr>
  </w:style>
  <w:style w:type="character" w:styleId="ListLabel10" w:customStyle="1">
    <w:name w:val="ListLabel 10"/>
    <w:qFormat/>
    <w:rPr>
      <w:w w:val="100"/>
      <w:sz w:val="22"/>
    </w:rPr>
  </w:style>
  <w:style w:type="character" w:styleId="ListLabel11" w:customStyle="1">
    <w:name w:val="ListLabel 11"/>
    <w:qFormat/>
    <w:rPr>
      <w:w w:val="100"/>
      <w:sz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120" w:after="120"/>
    </w:pPr>
    <w:rPr/>
  </w:style>
  <w:style w:type="paragraph" w:styleId="List">
    <w:name w:val="List"/>
    <w:basedOn w:val="Normal"/>
    <w:pPr>
      <w:ind w:left="357" w:hanging="357"/>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pacing w:before="120" w:after="360"/>
    </w:pPr>
    <w:rPr/>
  </w:style>
  <w:style w:type="paragraph" w:styleId="Contents1">
    <w:name w:val="TOC 1"/>
    <w:basedOn w:val="Normal"/>
    <w:next w:val="Normal"/>
    <w:autoRedefine/>
    <w:pPr>
      <w:tabs>
        <w:tab w:val="right" w:pos="8505" w:leader="dot"/>
      </w:tabs>
      <w:spacing w:lineRule="auto" w:line="240" w:before="240" w:after="0"/>
      <w:ind w:left="680" w:right="424" w:hanging="680"/>
      <w:jc w:val="left"/>
    </w:pPr>
    <w:rPr>
      <w:b/>
    </w:rPr>
  </w:style>
  <w:style w:type="paragraph" w:styleId="Contents2">
    <w:name w:val="TOC 2"/>
    <w:basedOn w:val="Contents1"/>
    <w:next w:val="Normal"/>
    <w:autoRedefine/>
    <w:pPr>
      <w:tabs>
        <w:tab w:val="left" w:pos="680" w:leader="none"/>
      </w:tabs>
      <w:spacing w:before="120" w:after="0"/>
    </w:pPr>
    <w:rPr>
      <w:b w:val="false"/>
    </w:rPr>
  </w:style>
  <w:style w:type="paragraph" w:styleId="Contents3">
    <w:name w:val="TOC 3"/>
    <w:basedOn w:val="Contents2"/>
    <w:next w:val="Normal"/>
    <w:autoRedefine/>
    <w:pPr>
      <w:tabs>
        <w:tab w:val="left" w:pos="1004" w:leader="none"/>
      </w:tabs>
      <w:spacing w:before="60" w:after="0"/>
    </w:pPr>
    <w:rPr/>
  </w:style>
  <w:style w:type="paragraph" w:styleId="Envelopereturn">
    <w:name w:val="envelope return"/>
    <w:basedOn w:val="Normal"/>
    <w:qFormat/>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mputerprogramm" w:customStyle="1">
    <w:name w:val="Computerprogramm"/>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basedOn w:val="Normal"/>
    <w:autoRedefine/>
    <w:qFormat/>
    <w:pPr>
      <w:jc w:val="left"/>
    </w:pPr>
    <w:rPr/>
  </w:style>
  <w:style w:type="paragraph" w:styleId="Footnote">
    <w:name w:val="Footnote Text"/>
    <w:basedOn w:val="Normal"/>
    <w:pPr>
      <w:tabs>
        <w:tab w:val="left" w:pos="284" w:leader="none"/>
      </w:tabs>
      <w:spacing w:lineRule="auto" w:line="240" w:before="60" w:after="0"/>
      <w:ind w:left="284" w:hanging="284"/>
    </w:pPr>
    <w:rPr>
      <w:sz w:val="20"/>
    </w:rPr>
  </w:style>
  <w:style w:type="paragraph" w:styleId="Header">
    <w:name w:val="Header"/>
    <w:basedOn w:val="Normal"/>
    <w:pPr>
      <w:pBdr>
        <w:bottom w:val="single" w:sz="4" w:space="1" w:color="000000"/>
      </w:pBdr>
      <w:tabs>
        <w:tab w:val="right" w:pos="7938" w:leader="none"/>
      </w:tabs>
      <w:spacing w:lineRule="auto" w:line="240"/>
    </w:pPr>
    <w:rPr>
      <w:sz w:val="20"/>
    </w:rPr>
  </w:style>
  <w:style w:type="paragraph" w:styleId="Tableoffigures">
    <w:name w:val="table of figures"/>
    <w:basedOn w:val="Contents3"/>
    <w:next w:val="Normal"/>
    <w:autoRedefine/>
    <w:qFormat/>
    <w:pPr>
      <w:ind w:left="709" w:right="424" w:hanging="709"/>
    </w:pPr>
    <w:rPr/>
  </w:style>
  <w:style w:type="paragraph" w:styleId="ListBullet2">
    <w:name w:val="List Bullet 2"/>
    <w:basedOn w:val="Normal"/>
    <w:qFormat/>
    <w:pPr>
      <w:tabs>
        <w:tab w:val="left" w:pos="720" w:leader="none"/>
      </w:tabs>
      <w:ind w:left="714" w:hanging="357"/>
    </w:pPr>
    <w:rPr/>
  </w:style>
  <w:style w:type="paragraph" w:styleId="Abbildung" w:customStyle="1">
    <w:name w:val="Abbildung"/>
    <w:basedOn w:val="Normal"/>
    <w:next w:val="Caption"/>
    <w:qFormat/>
    <w:pPr>
      <w:keepNext w:val="true"/>
      <w:spacing w:before="480" w:after="0"/>
      <w:jc w:val="center"/>
    </w:pPr>
    <w:rPr/>
  </w:style>
  <w:style w:type="paragraph" w:styleId="Footer">
    <w:name w:val="Footer"/>
    <w:basedOn w:val="Normal"/>
    <w:pPr>
      <w:tabs>
        <w:tab w:val="center" w:pos="4536" w:leader="none"/>
        <w:tab w:val="right" w:pos="9072" w:leader="none"/>
      </w:tabs>
    </w:pPr>
    <w:rPr/>
  </w:style>
  <w:style w:type="paragraph" w:styleId="ListBullet">
    <w:name w:val="List Bullet"/>
    <w:basedOn w:val="Normal"/>
    <w:qFormat/>
    <w:pPr/>
    <w:rPr/>
  </w:style>
  <w:style w:type="paragraph" w:styleId="Quote">
    <w:name w:val="Quote"/>
    <w:basedOn w:val="Normal"/>
    <w:qFormat/>
    <w:pPr>
      <w:ind w:left="680" w:right="680" w:hanging="0"/>
    </w:pPr>
    <w:rPr>
      <w:i/>
    </w:rPr>
  </w:style>
  <w:style w:type="paragraph" w:styleId="ComplimentaryClose">
    <w:name w:val="Salutation"/>
    <w:basedOn w:val="Normal"/>
    <w:next w:val="Normal"/>
    <w:pPr/>
    <w:rPr/>
  </w:style>
  <w:style w:type="paragraph" w:styleId="BlockText">
    <w:name w:val="Block Text"/>
    <w:basedOn w:val="Normal"/>
    <w:qFormat/>
    <w:pPr>
      <w:ind w:left="1440" w:right="1440" w:hanging="0"/>
    </w:pPr>
    <w:rPr/>
  </w:style>
  <w:style w:type="paragraph" w:styleId="Date">
    <w:name w:val="Date"/>
    <w:basedOn w:val="Normal"/>
    <w:next w:val="Normal"/>
    <w:qFormat/>
    <w:pPr/>
    <w:rPr/>
  </w:style>
  <w:style w:type="paragraph" w:styleId="DocumentMap">
    <w:name w:val="Document Map"/>
    <w:basedOn w:val="Normal"/>
    <w:qFormat/>
    <w:pPr>
      <w:shd w:val="clear" w:color="auto" w:fill="000080"/>
    </w:pPr>
    <w:rPr>
      <w:rFonts w:ascii="Tahoma" w:hAnsi="Tahoma"/>
    </w:rPr>
  </w:style>
  <w:style w:type="paragraph" w:styleId="Endnote">
    <w:name w:val="Endnote Text"/>
    <w:basedOn w:val="Normal"/>
    <w:pPr/>
    <w:rPr/>
  </w:style>
  <w:style w:type="paragraph" w:styleId="NoteHeading">
    <w:name w:val="Note Heading"/>
    <w:basedOn w:val="Normal"/>
    <w:next w:val="Normal"/>
    <w:qFormat/>
    <w:pPr/>
    <w:rPr/>
  </w:style>
  <w:style w:type="paragraph" w:styleId="Closing">
    <w:name w:val="Closing"/>
    <w:basedOn w:val="Normal"/>
    <w:qFormat/>
    <w:pPr>
      <w:ind w:left="4252" w:hanging="0"/>
    </w:pPr>
    <w:rPr/>
  </w:style>
  <w:style w:type="paragraph" w:styleId="Index1">
    <w:name w:val="index 1"/>
    <w:basedOn w:val="Normal"/>
    <w:next w:val="Normal"/>
    <w:autoRedefine/>
    <w:qFormat/>
    <w:pPr>
      <w:tabs>
        <w:tab w:val="right" w:pos="3598" w:leader="dot"/>
      </w:tabs>
      <w:spacing w:lineRule="auto" w:line="240"/>
      <w:ind w:left="198" w:hanging="198"/>
    </w:pPr>
    <w:rPr/>
  </w:style>
  <w:style w:type="paragraph" w:styleId="Index2">
    <w:name w:val="index 2"/>
    <w:basedOn w:val="Normal"/>
    <w:next w:val="Normal"/>
    <w:autoRedefine/>
    <w:qFormat/>
    <w:pPr>
      <w:spacing w:lineRule="auto" w:line="240"/>
      <w:ind w:left="396" w:hanging="198"/>
    </w:pPr>
    <w:rPr/>
  </w:style>
  <w:style w:type="paragraph" w:styleId="Index3">
    <w:name w:val="index 3"/>
    <w:basedOn w:val="Normal"/>
    <w:next w:val="Normal"/>
    <w:autoRedefine/>
    <w:qFormat/>
    <w:pPr>
      <w:spacing w:lineRule="auto" w:line="240"/>
      <w:ind w:left="601" w:hanging="198"/>
    </w:pPr>
    <w:rPr/>
  </w:style>
  <w:style w:type="paragraph" w:styleId="Index4">
    <w:name w:val="index 4"/>
    <w:basedOn w:val="Normal"/>
    <w:next w:val="Normal"/>
    <w:autoRedefine/>
    <w:qFormat/>
    <w:pPr>
      <w:spacing w:lineRule="auto" w:line="240"/>
      <w:ind w:left="799" w:hanging="198"/>
    </w:pPr>
    <w:rPr/>
  </w:style>
  <w:style w:type="paragraph" w:styleId="Index5">
    <w:name w:val="index 5"/>
    <w:basedOn w:val="Normal"/>
    <w:next w:val="Normal"/>
    <w:autoRedefine/>
    <w:qFormat/>
    <w:pPr>
      <w:spacing w:lineRule="auto" w:line="240"/>
      <w:ind w:left="997" w:hanging="198"/>
    </w:pPr>
    <w:rPr/>
  </w:style>
  <w:style w:type="paragraph" w:styleId="Index6">
    <w:name w:val="index 6"/>
    <w:basedOn w:val="Normal"/>
    <w:next w:val="Normal"/>
    <w:autoRedefine/>
    <w:qFormat/>
    <w:pPr>
      <w:spacing w:lineRule="auto" w:line="240"/>
      <w:ind w:left="1196" w:hanging="198"/>
    </w:pPr>
    <w:rPr/>
  </w:style>
  <w:style w:type="paragraph" w:styleId="Index7">
    <w:name w:val="index 7"/>
    <w:basedOn w:val="Normal"/>
    <w:next w:val="Normal"/>
    <w:autoRedefine/>
    <w:qFormat/>
    <w:pPr>
      <w:spacing w:lineRule="auto" w:line="240"/>
      <w:ind w:left="1400" w:hanging="198"/>
    </w:pPr>
    <w:rPr/>
  </w:style>
  <w:style w:type="paragraph" w:styleId="Index8">
    <w:name w:val="index 8"/>
    <w:basedOn w:val="Normal"/>
    <w:next w:val="Normal"/>
    <w:autoRedefine/>
    <w:qFormat/>
    <w:pPr>
      <w:spacing w:lineRule="auto" w:line="240"/>
      <w:ind w:left="1598" w:hanging="198"/>
    </w:pPr>
    <w:rPr/>
  </w:style>
  <w:style w:type="paragraph" w:styleId="Index9">
    <w:name w:val="index 9"/>
    <w:basedOn w:val="Normal"/>
    <w:next w:val="Normal"/>
    <w:autoRedefine/>
    <w:qFormat/>
    <w:pPr>
      <w:spacing w:lineRule="auto" w:line="240"/>
      <w:ind w:left="1797" w:hanging="198"/>
    </w:pPr>
    <w:rPr/>
  </w:style>
  <w:style w:type="paragraph" w:styleId="Indexheading">
    <w:name w:val="index heading"/>
    <w:basedOn w:val="Normal"/>
    <w:qFormat/>
    <w:pPr/>
    <w:rPr>
      <w:b/>
    </w:rPr>
  </w:style>
  <w:style w:type="paragraph" w:styleId="Annotationtext">
    <w:name w:val="annotation text"/>
    <w:basedOn w:val="Normal"/>
    <w:qFormat/>
    <w:pPr/>
    <w:rPr/>
  </w:style>
  <w:style w:type="paragraph" w:styleId="ListBullet3">
    <w:name w:val="List Bullet 3"/>
    <w:basedOn w:val="Normal"/>
    <w:qFormat/>
    <w:pPr>
      <w:tabs>
        <w:tab w:val="left" w:pos="1077" w:leader="none"/>
      </w:tabs>
      <w:ind w:left="1077" w:hanging="357"/>
    </w:pPr>
    <w:rPr/>
  </w:style>
  <w:style w:type="paragraph" w:styleId="ListBullet4">
    <w:name w:val="List Bullet 4"/>
    <w:basedOn w:val="Normal"/>
    <w:qFormat/>
    <w:pPr>
      <w:tabs>
        <w:tab w:val="right" w:pos="1440" w:leader="none"/>
      </w:tabs>
      <w:ind w:left="1434" w:hanging="357"/>
    </w:pPr>
    <w:rPr/>
  </w:style>
  <w:style w:type="paragraph" w:styleId="ListBullet5">
    <w:name w:val="List Bullet 5"/>
    <w:basedOn w:val="Normal"/>
    <w:qFormat/>
    <w:pPr>
      <w:tabs>
        <w:tab w:val="left" w:pos="1786" w:leader="none"/>
      </w:tabs>
      <w:ind w:left="1797" w:hanging="357"/>
    </w:pPr>
    <w:rPr/>
  </w:style>
  <w:style w:type="paragraph" w:styleId="ListNumber">
    <w:name w:val="List Number"/>
    <w:basedOn w:val="Normal"/>
    <w:qFormat/>
    <w:pPr>
      <w:tabs>
        <w:tab w:val="left" w:pos="357" w:leader="none"/>
      </w:tabs>
      <w:ind w:left="357" w:hanging="357"/>
    </w:pPr>
    <w:rPr/>
  </w:style>
  <w:style w:type="paragraph" w:styleId="ListContinue">
    <w:name w:val="List Continue"/>
    <w:basedOn w:val="Normal"/>
    <w:qFormat/>
    <w:pPr>
      <w:ind w:left="357"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77"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797" w:hanging="0"/>
    </w:pPr>
    <w:rPr/>
  </w:style>
  <w:style w:type="paragraph" w:styleId="ListNumber2">
    <w:name w:val="List Number 2"/>
    <w:basedOn w:val="Normal"/>
    <w:qFormat/>
    <w:pPr>
      <w:tabs>
        <w:tab w:val="left" w:pos="357" w:leader="none"/>
      </w:tabs>
      <w:ind w:left="714" w:hanging="357"/>
    </w:pPr>
    <w:rPr/>
  </w:style>
  <w:style w:type="paragraph" w:styleId="ListNumber3">
    <w:name w:val="List Number 3"/>
    <w:basedOn w:val="Normal"/>
    <w:qFormat/>
    <w:pPr>
      <w:tabs>
        <w:tab w:val="right" w:pos="1077" w:leader="none"/>
      </w:tabs>
      <w:ind w:left="1077" w:hanging="357"/>
    </w:pPr>
    <w:rPr/>
  </w:style>
  <w:style w:type="paragraph" w:styleId="ListNumber4">
    <w:name w:val="List Number 4"/>
    <w:basedOn w:val="Normal"/>
    <w:qFormat/>
    <w:pPr>
      <w:tabs>
        <w:tab w:val="right" w:pos="1440" w:leader="none"/>
      </w:tabs>
      <w:ind w:left="1434" w:hanging="357"/>
    </w:pPr>
    <w:rPr/>
  </w:style>
  <w:style w:type="paragraph" w:styleId="ListNumber5">
    <w:name w:val="List Number 5"/>
    <w:basedOn w:val="Normal"/>
    <w:qFormat/>
    <w:pPr>
      <w:tabs>
        <w:tab w:val="right" w:pos="1797" w:leader="none"/>
      </w:tabs>
      <w:ind w:left="1797" w:hanging="357"/>
    </w:pPr>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jc w:val="left"/>
    </w:pPr>
    <w:rPr>
      <w:rFonts w:ascii="Courier New" w:hAnsi="Courier New" w:eastAsia="Times New Roman" w:cs="Times New Roman"/>
      <w:color w:val="auto"/>
      <w:kern w:val="0"/>
      <w:sz w:val="24"/>
      <w:szCs w:val="20"/>
      <w:lang w:val="de-DE" w:eastAsia="de-DE"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134" w:hanging="1134"/>
    </w:pPr>
    <w:rPr/>
  </w:style>
  <w:style w:type="paragraph" w:styleId="PlainText">
    <w:name w:val="Plain Text"/>
    <w:basedOn w:val="Normal"/>
    <w:qFormat/>
    <w:pPr/>
    <w:rPr>
      <w:rFonts w:ascii="Courier New" w:hAnsi="Courier New"/>
    </w:rPr>
  </w:style>
  <w:style w:type="paragraph" w:styleId="NormalIndent">
    <w:name w:val="Normal Indent"/>
    <w:basedOn w:val="Normal"/>
    <w:qFormat/>
    <w:pPr>
      <w:ind w:left="708" w:hanging="0"/>
    </w:pPr>
    <w:rPr/>
  </w:style>
  <w:style w:type="paragraph" w:styleId="BodyText2">
    <w:name w:val="Body Text 2"/>
    <w:basedOn w:val="Normal"/>
    <w:qFormat/>
    <w:pPr>
      <w:spacing w:lineRule="auto" w:line="480" w:before="120" w:after="120"/>
    </w:pPr>
    <w:rPr/>
  </w:style>
  <w:style w:type="paragraph" w:styleId="BodyText3">
    <w:name w:val="Body Text 3"/>
    <w:basedOn w:val="Normal"/>
    <w:qFormat/>
    <w:pPr>
      <w:spacing w:before="120" w:after="120"/>
    </w:pPr>
    <w:rPr>
      <w:sz w:val="16"/>
    </w:rPr>
  </w:style>
  <w:style w:type="paragraph" w:styleId="TextBodyIndent">
    <w:name w:val="Body Text Indent"/>
    <w:basedOn w:val="TextBody"/>
    <w:pPr>
      <w:ind w:firstLine="210"/>
    </w:pPr>
    <w:rPr/>
  </w:style>
  <w:style w:type="paragraph" w:styleId="BodyTextIndent2">
    <w:name w:val="Body Text Indent 2"/>
    <w:basedOn w:val="Normal"/>
    <w:qFormat/>
    <w:pPr>
      <w:spacing w:lineRule="auto" w:line="480" w:before="120" w:after="120"/>
      <w:ind w:left="283" w:hanging="0"/>
    </w:pPr>
    <w:rPr/>
  </w:style>
  <w:style w:type="paragraph" w:styleId="BodyTextIndent3">
    <w:name w:val="Body Text Indent 3"/>
    <w:basedOn w:val="Normal"/>
    <w:qFormat/>
    <w:pPr>
      <w:spacing w:before="120" w:after="120"/>
      <w:ind w:left="283" w:hanging="0"/>
    </w:pPr>
    <w:rPr>
      <w:sz w:val="16"/>
    </w:rPr>
  </w:style>
  <w:style w:type="paragraph" w:styleId="BodyTextFirstIndent2">
    <w:name w:val="Body Text First Indent 2"/>
    <w:basedOn w:val="TextBodyIndent"/>
    <w:qFormat/>
    <w:pPr>
      <w:ind w:left="283" w:firstLine="210"/>
    </w:pPr>
    <w:rPr/>
  </w:style>
  <w:style w:type="paragraph" w:styleId="Title">
    <w:name w:val="Title"/>
    <w:basedOn w:val="Normal"/>
    <w:next w:val="Subtitle"/>
    <w:uiPriority w:val="10"/>
    <w:qFormat/>
    <w:pPr>
      <w:suppressAutoHyphens w:val="true"/>
      <w:spacing w:lineRule="auto" w:line="360" w:before="0" w:after="0"/>
      <w:jc w:val="center"/>
    </w:pPr>
    <w:rPr>
      <w:rFonts w:ascii="Arial" w:hAnsi="Arial"/>
      <w:b/>
      <w:kern w:val="2"/>
      <w:sz w:val="44"/>
    </w:rPr>
  </w:style>
  <w:style w:type="paragraph" w:styleId="Subtitle">
    <w:name w:val="Subtitle"/>
    <w:basedOn w:val="Normal"/>
    <w:uiPriority w:val="11"/>
    <w:qFormat/>
    <w:pPr>
      <w:suppressAutoHyphens w:val="true"/>
      <w:spacing w:before="240" w:after="0"/>
      <w:jc w:val="center"/>
    </w:pPr>
    <w:rPr>
      <w:rFonts w:ascii="Arial" w:hAnsi="Arial"/>
      <w:sz w:val="32"/>
    </w:rPr>
  </w:style>
  <w:style w:type="paragraph" w:styleId="Envelopeaddress">
    <w:name w:val="envelope address"/>
    <w:basedOn w:val="Normal"/>
    <w:qFormat/>
    <w:pPr>
      <w:ind w:left="1" w:hanging="0"/>
    </w:pPr>
    <w:rPr/>
  </w:style>
  <w:style w:type="paragraph" w:styleId="Signature">
    <w:name w:val="Signature"/>
    <w:basedOn w:val="Normal"/>
    <w:pPr>
      <w:ind w:left="4252" w:hanging="0"/>
    </w:pPr>
    <w:rPr/>
  </w:style>
  <w:style w:type="paragraph" w:styleId="Contents4">
    <w:name w:val="TOC 4"/>
    <w:basedOn w:val="Contents3"/>
    <w:next w:val="Normal"/>
    <w:autoRedefine/>
    <w:pPr/>
    <w:rPr/>
  </w:style>
  <w:style w:type="paragraph" w:styleId="Contents5">
    <w:name w:val="TOC 5"/>
    <w:basedOn w:val="Contents4"/>
    <w:next w:val="Normal"/>
    <w:autoRedefine/>
    <w:pPr/>
    <w:rPr/>
  </w:style>
  <w:style w:type="paragraph" w:styleId="Contents6">
    <w:name w:val="TOC 6"/>
    <w:basedOn w:val="Contents5"/>
    <w:next w:val="Normal"/>
    <w:autoRedefine/>
    <w:pPr/>
    <w:rPr/>
  </w:style>
  <w:style w:type="paragraph" w:styleId="Contents7">
    <w:name w:val="TOC 7"/>
    <w:basedOn w:val="Contents6"/>
    <w:next w:val="Normal"/>
    <w:autoRedefine/>
    <w:pPr/>
    <w:rPr/>
  </w:style>
  <w:style w:type="paragraph" w:styleId="Contents8">
    <w:name w:val="TOC 8"/>
    <w:basedOn w:val="Contents7"/>
    <w:next w:val="Normal"/>
    <w:autoRedefine/>
    <w:pPr/>
    <w:rPr/>
  </w:style>
  <w:style w:type="paragraph" w:styleId="Contents9">
    <w:name w:val="TOC 9"/>
    <w:basedOn w:val="Contents8"/>
    <w:next w:val="Normal"/>
    <w:autoRedefine/>
    <w:pPr>
      <w:outlineLvl w:val="8"/>
    </w:pPr>
    <w:rPr/>
  </w:style>
  <w:style w:type="paragraph" w:styleId="Toaheading">
    <w:name w:val="toa heading"/>
    <w:basedOn w:val="Normal"/>
    <w:next w:val="Normal"/>
    <w:qFormat/>
    <w:pPr/>
    <w:rPr>
      <w:b/>
    </w:rPr>
  </w:style>
  <w:style w:type="paragraph" w:styleId="Tableofauthorities">
    <w:name w:val="table of authorities"/>
    <w:basedOn w:val="Normal"/>
    <w:next w:val="Normal"/>
    <w:qFormat/>
    <w:pPr>
      <w:ind w:left="200" w:hanging="200"/>
    </w:pPr>
    <w:rPr/>
  </w:style>
  <w:style w:type="paragraph" w:styleId="Tabellenberschrift" w:customStyle="1">
    <w:name w:val="Tabellenüberschrift"/>
    <w:basedOn w:val="Caption1"/>
    <w:qFormat/>
    <w:pPr>
      <w:keepNext w:val="true"/>
      <w:spacing w:before="480" w:after="0"/>
    </w:pPr>
    <w:rPr/>
  </w:style>
  <w:style w:type="paragraph" w:styleId="Annotationsubject">
    <w:name w:val="annotation subject"/>
    <w:basedOn w:val="Annotationtext"/>
    <w:qFormat/>
    <w:pPr>
      <w:spacing w:lineRule="auto" w:line="240"/>
    </w:pPr>
    <w:rPr>
      <w:b/>
      <w:bCs/>
      <w:sz w:val="20"/>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a94550"/>
    <w:pPr>
      <w:spacing w:before="12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d2e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5</Pages>
  <Words>592</Words>
  <Characters>3389</Characters>
  <CharactersWithSpaces>3911</CharactersWithSpaces>
  <Paragraphs>74</Paragraphs>
  <Company>Hochschule der Medien Stuttgart - Stuttgart Media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2020-11-03T16:52:00Z</dcterms:created>
  <dc:creator>Wolf-Fritz Riekert</dc:creator>
  <dc:description/>
  <dc:language>de-DE</dc:language>
  <cp:lastModifiedBy/>
  <cp:lastPrinted>2011-10-23T20:42:00Z</cp:lastPrinted>
  <dcterms:modified xsi:type="dcterms:W3CDTF">2020-11-17T19:02:12Z</dcterms:modified>
  <cp:revision>155</cp:revision>
  <dc:subject/>
  <dc:title>Eine Dokumentvorlage für Abschlussarbeiten und andere wissenschaftliche Arbeiten, insbesondere Bachelorarbeiten, Masterarbeiten, Abschlussarbeiten und Studienarbeiten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