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8649E1">
      <w:pPr>
        <w:pStyle w:val="Subtitle"/>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le"/>
                  </w:pPr>
                  <w:r>
                    <w:t xml:space="preserve">Bericht zum Versuch: </w:t>
                  </w:r>
                </w:p>
                <w:p w14:paraId="126F774F" w14:textId="77777777" w:rsidR="00365DE7" w:rsidRDefault="00A94550">
                  <w:pPr>
                    <w:pStyle w:val="Title"/>
                  </w:pPr>
                  <w:r>
                    <w:t>Messsystemanalyse</w:t>
                  </w:r>
                </w:p>
                <w:p w14:paraId="5940D79B" w14:textId="77777777" w:rsidR="00365DE7" w:rsidRDefault="00365DE7">
                  <w:pPr>
                    <w:pStyle w:val="Subtitle"/>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Subtitle"/>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Subtitle"/>
                    <w:rPr>
                      <w:b/>
                    </w:rPr>
                  </w:pPr>
                  <w:r>
                    <w:rPr>
                      <w:b/>
                    </w:rPr>
                    <w:t>Berichtabgabe</w:t>
                  </w:r>
                </w:p>
                <w:p w14:paraId="12F9D6BA" w14:textId="77777777" w:rsidR="00365DE7" w:rsidRDefault="00A94550">
                  <w:pPr>
                    <w:pStyle w:val="Subtitle"/>
                  </w:pPr>
                  <w:r>
                    <w:t>vorgelegt von</w:t>
                  </w:r>
                </w:p>
                <w:p w14:paraId="15AF5F83" w14:textId="77777777" w:rsidR="00365DE7" w:rsidRDefault="00A94550">
                  <w:pPr>
                    <w:pStyle w:val="Subtitle"/>
                    <w:rPr>
                      <w:b/>
                      <w:bCs/>
                    </w:rPr>
                  </w:pPr>
                  <w:r>
                    <w:rPr>
                      <w:b/>
                      <w:bCs/>
                    </w:rPr>
                    <w:t>Gruppe 6</w:t>
                  </w:r>
                </w:p>
                <w:p w14:paraId="03EFD213" w14:textId="77777777" w:rsidR="00365DE7" w:rsidRDefault="00A94550">
                  <w:pPr>
                    <w:pStyle w:val="Subtitle"/>
                    <w:rPr>
                      <w:b/>
                    </w:rPr>
                  </w:pPr>
                  <w:r>
                    <w:rPr>
                      <w:b/>
                    </w:rPr>
                    <w:t xml:space="preserve">Benjamin Hamm (2060696), Jan Klotter (2060690), </w:t>
                  </w:r>
                  <w:r>
                    <w:rPr>
                      <w:b/>
                    </w:rPr>
                    <w:br/>
                    <w:t>Anna Kuhn (2051063), Michael Schulze (2061282)</w:t>
                  </w:r>
                </w:p>
                <w:p w14:paraId="225AE032" w14:textId="77777777" w:rsidR="00365DE7" w:rsidRDefault="00A94550">
                  <w:pPr>
                    <w:pStyle w:val="Subtitle"/>
                  </w:pPr>
                  <w:r>
                    <w:t xml:space="preserve">am 17. November 2020 </w:t>
                  </w:r>
                  <w:r>
                    <w:br/>
                    <w:t>Hochschule Mannheim</w:t>
                  </w:r>
                </w:p>
              </w:txbxContent>
            </v:textbox>
            <w10:wrap anchory="margin"/>
          </v:rect>
        </w:pict>
      </w:r>
    </w:p>
    <w:p w14:paraId="2862B1FC" w14:textId="77777777" w:rsidR="00365DE7" w:rsidRDefault="00A94550">
      <w:pPr>
        <w:pStyle w:val="Heading1"/>
        <w:numPr>
          <w:ilvl w:val="0"/>
          <w:numId w:val="2"/>
        </w:numPr>
        <w:ind w:left="720" w:hanging="720"/>
      </w:pPr>
      <w:r>
        <w:lastRenderedPageBreak/>
        <w:t>Einführung und Ablauf</w:t>
      </w:r>
    </w:p>
    <w:p w14:paraId="6D52E79C" w14:textId="77777777" w:rsidR="00365DE7" w:rsidRDefault="00365DE7"/>
    <w:p w14:paraId="0B57292A" w14:textId="77777777" w:rsidR="00A42698" w:rsidRDefault="00A42698" w:rsidP="00A42698">
      <w:r>
        <w:t xml:space="preserve">In diesem Versuch soll ein Messbecher mittels einer Messsystemanalyse als Messmittel zum Abwiegen von Wasser qualifiziert werden. Dies soll mit einer Küchenwaage überprüft werden. </w:t>
      </w:r>
    </w:p>
    <w:p w14:paraId="29D2E95B" w14:textId="77777777" w:rsidR="00A42698" w:rsidRDefault="00A42698" w:rsidP="00A42698">
      <w:r>
        <w:t xml:space="preserve">Zuerst wird eine type-1 study durchgeführt. Die Messungen erfolgen gemäß der Messanleitung (Kap. 2). Hierfür hat jede Person 25 mal 200 ml gemessen. </w:t>
      </w:r>
    </w:p>
    <w:p w14:paraId="7F51E572" w14:textId="42702D48" w:rsidR="00365DE7" w:rsidRDefault="00A42698" w:rsidP="00A42698">
      <w:r>
        <w:t>Dann wurde eine type-2 study durchgeführt. Hierfür wurden 5 Gläser gesucht, die ein Füllvermögen von jeweils 100, 200, 300, 400 und 500 ml haben. Diese wurden dann mit den zugehörigen Mengen befüllt und gemessen. Die Messung wurde dann einige Stunden später nochmals durchgeführt. Jeder Teilnehmer der Gruppe hat sich eine Person gesucht, die ebenfalls die Messungen durchgeführt hat.</w:t>
      </w:r>
    </w:p>
    <w:p w14:paraId="64860D7A" w14:textId="77777777" w:rsidR="00A42698" w:rsidRDefault="00A42698" w:rsidP="00A42698"/>
    <w:p w14:paraId="03DC3DA1" w14:textId="77777777" w:rsidR="00365DE7" w:rsidRDefault="00A94550">
      <w:r>
        <w:t>- Verfahren 2 der MSA mit linearen Messreihen</w:t>
      </w:r>
    </w:p>
    <w:p w14:paraId="3334FCAA" w14:textId="77777777" w:rsidR="00365DE7" w:rsidRDefault="00A94550">
      <w:r>
        <w:t>- je 3 Versuche mit 100 ml bis 500 ml in 100 ml Schritten Person A am 12.11.2020</w:t>
      </w:r>
    </w:p>
    <w:p w14:paraId="12CDE1EC" w14:textId="77777777" w:rsidR="00365DE7" w:rsidRDefault="00A94550">
      <w:r>
        <w:t>- 5 verschiedene Gefäße mit xx ml über Messbecher eingefüllt → immer gleiche Probe</w:t>
      </w:r>
    </w:p>
    <w:p w14:paraId="7F60DE3E" w14:textId="77777777" w:rsidR="00365DE7" w:rsidRDefault="00A94550">
      <w:r>
        <w:t>- Leergewicht der Gläser bekannt → abziehen vom Messwert</w:t>
      </w:r>
    </w:p>
    <w:p w14:paraId="423AE39D" w14:textId="77777777" w:rsidR="00365DE7" w:rsidRDefault="00A94550">
      <w:r>
        <w:t xml:space="preserve">- zwischen den Einzelmessungen für eine Probe etwas Zeit lassen </w:t>
      </w:r>
      <w:r>
        <w:rPr>
          <w:b/>
          <w:bCs/>
        </w:rPr>
        <w:t>TBD</w:t>
      </w:r>
    </w:p>
    <w:p w14:paraId="683AD7DF" w14:textId="77777777" w:rsidR="00365DE7" w:rsidRDefault="00A94550">
      <w:r>
        <w:t>- Probenverwendung randomisieren (siehe Tabelle, mit Matlab gemacht)</w:t>
      </w:r>
    </w:p>
    <w:p w14:paraId="34787E0C" w14:textId="77777777" w:rsidR="00365DE7" w:rsidRPr="00A94550" w:rsidRDefault="00A94550">
      <w:pPr>
        <w:rPr>
          <w:lang w:val="en-GB"/>
        </w:rPr>
      </w:pPr>
      <w:r w:rsidRPr="00A94550">
        <w:rPr>
          <w:lang w:val="en-GB"/>
        </w:rPr>
        <w:t>Matlab:</w:t>
      </w:r>
    </w:p>
    <w:p w14:paraId="0D886BC1" w14:textId="77777777" w:rsidR="00365DE7" w:rsidRPr="00A94550" w:rsidRDefault="00A94550">
      <w:pPr>
        <w:rPr>
          <w:lang w:val="en-GB"/>
        </w:rPr>
      </w:pPr>
      <w:r w:rsidRPr="00A94550">
        <w:rPr>
          <w:lang w:val="en-GB"/>
        </w:rPr>
        <w:t>data = [100 200 300 400 500]</w:t>
      </w:r>
    </w:p>
    <w:p w14:paraId="459A72FA" w14:textId="77777777" w:rsidR="00365DE7" w:rsidRPr="00A94550" w:rsidRDefault="00A94550">
      <w:pPr>
        <w:rPr>
          <w:lang w:val="en-GB"/>
        </w:rPr>
      </w:pPr>
      <w:r w:rsidRPr="00A94550">
        <w:rPr>
          <w:lang w:val="en-GB"/>
        </w:rPr>
        <w:t>y = datasample(data, 5, "Replace", false)</w:t>
      </w:r>
    </w:p>
    <w:p w14:paraId="5139AC92" w14:textId="77777777" w:rsidR="00365DE7" w:rsidRDefault="00A94550">
      <w:r>
        <w:t>Ablauf:</w:t>
      </w:r>
    </w:p>
    <w:p w14:paraId="2C9E4F62" w14:textId="77777777" w:rsidR="00365DE7" w:rsidRDefault="00A94550">
      <w:r>
        <w:t>- Person A beginnt 10:00 Uhr mit Messung 1 Probe 500 ml, dann Probe 300 ml, danach Probe 200 ml, gefolgt von Probe 100 ml, zum Schluss Probe 400 ml.</w:t>
      </w:r>
    </w:p>
    <w:p w14:paraId="50581D1F" w14:textId="77777777" w:rsidR="00365DE7" w:rsidRDefault="00A94550">
      <w:r>
        <w:t>- Person A wartet und beginnt 11:00 Uhr (TBD) mit Messung 2 Probe 100 ml, dann 400 ml, …, zum Schluss 200 ml</w:t>
      </w:r>
    </w:p>
    <w:p w14:paraId="5F6202C7" w14:textId="77777777" w:rsidR="00365DE7" w:rsidRDefault="00A94550">
      <w:r>
        <w:t>- Person A wartet und beginnt 12:00 Uhr (TBD) mit Messung 3 Probe 400 ml, dann Probe 100 ml, …, zum Schluss Probe 500 ml</w:t>
      </w:r>
    </w:p>
    <w:p w14:paraId="4E11884C" w14:textId="77777777" w:rsidR="00365DE7" w:rsidRDefault="00A94550">
      <w:r>
        <w:t>- gleiches Spiel für Person B, nur zu einem späteren Zeitpunkt und der anderen Reihenfolge (siehe Tabelle)</w:t>
      </w:r>
    </w:p>
    <w:p w14:paraId="11A6BD0E" w14:textId="77777777" w:rsidR="00365DE7" w:rsidRDefault="00365DE7"/>
    <w:tbl>
      <w:tblPr>
        <w:tblW w:w="84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8"/>
        <w:gridCol w:w="1208"/>
        <w:gridCol w:w="1209"/>
        <w:gridCol w:w="1208"/>
        <w:gridCol w:w="1208"/>
        <w:gridCol w:w="1209"/>
        <w:gridCol w:w="1206"/>
      </w:tblGrid>
      <w:tr w:rsidR="00365DE7" w14:paraId="305FFEB8" w14:textId="77777777">
        <w:tc>
          <w:tcPr>
            <w:tcW w:w="1208"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7247" w:type="dxa"/>
            <w:gridSpan w:val="6"/>
            <w:tcBorders>
              <w:top w:val="single" w:sz="2" w:space="0" w:color="000000"/>
              <w:left w:val="single" w:sz="2" w:space="0" w:color="000000"/>
              <w:bottom w:val="single" w:sz="2" w:space="0" w:color="000000"/>
              <w:right w:val="single" w:sz="2" w:space="0" w:color="000000"/>
            </w:tcBorders>
            <w:shd w:val="clear" w:color="auto" w:fill="auto"/>
          </w:tcPr>
          <w:p w14:paraId="1A43A6BA" w14:textId="77777777" w:rsidR="00365DE7" w:rsidRDefault="00A94550">
            <w:pPr>
              <w:pStyle w:val="TableContents"/>
              <w:jc w:val="center"/>
              <w:rPr>
                <w:b/>
                <w:bCs/>
              </w:rPr>
            </w:pPr>
            <w:r>
              <w:rPr>
                <w:b/>
                <w:bCs/>
              </w:rPr>
              <w:t>Messreihenfolge</w:t>
            </w:r>
          </w:p>
        </w:tc>
      </w:tr>
      <w:tr w:rsidR="00365DE7" w14:paraId="3A76E37D" w14:textId="77777777">
        <w:tc>
          <w:tcPr>
            <w:tcW w:w="1208" w:type="dxa"/>
            <w:tcBorders>
              <w:top w:val="single" w:sz="2" w:space="0" w:color="000000"/>
              <w:left w:val="single" w:sz="2" w:space="0" w:color="000000"/>
              <w:bottom w:val="single" w:sz="2" w:space="0" w:color="000000"/>
            </w:tcBorders>
            <w:shd w:val="clear" w:color="auto" w:fill="auto"/>
          </w:tcPr>
          <w:p w14:paraId="6DBBA7D1" w14:textId="77777777" w:rsidR="00365DE7" w:rsidRDefault="00365DE7">
            <w:pPr>
              <w:pStyle w:val="TableContents"/>
              <w:jc w:val="center"/>
            </w:pPr>
          </w:p>
        </w:tc>
        <w:tc>
          <w:tcPr>
            <w:tcW w:w="3624" w:type="dxa"/>
            <w:gridSpan w:val="3"/>
            <w:tcBorders>
              <w:top w:val="single" w:sz="2" w:space="0" w:color="000000"/>
              <w:left w:val="single" w:sz="2" w:space="0" w:color="000000"/>
              <w:bottom w:val="single" w:sz="2" w:space="0" w:color="000000"/>
            </w:tcBorders>
            <w:shd w:val="clear" w:color="auto" w:fill="auto"/>
          </w:tcPr>
          <w:p w14:paraId="5321E7FF" w14:textId="77777777" w:rsidR="00365DE7" w:rsidRDefault="00A94550">
            <w:pPr>
              <w:pStyle w:val="TableContents"/>
              <w:jc w:val="center"/>
              <w:rPr>
                <w:b/>
                <w:bCs/>
              </w:rPr>
            </w:pPr>
            <w:r>
              <w:rPr>
                <w:b/>
                <w:bCs/>
              </w:rPr>
              <w:t>Person A</w:t>
            </w:r>
          </w:p>
        </w:tc>
        <w:tc>
          <w:tcPr>
            <w:tcW w:w="3623" w:type="dxa"/>
            <w:gridSpan w:val="3"/>
            <w:tcBorders>
              <w:top w:val="single" w:sz="2" w:space="0" w:color="000000"/>
              <w:left w:val="single" w:sz="2" w:space="0" w:color="000000"/>
              <w:bottom w:val="single" w:sz="2" w:space="0" w:color="000000"/>
              <w:right w:val="single" w:sz="2" w:space="0" w:color="000000"/>
            </w:tcBorders>
            <w:shd w:val="clear" w:color="auto" w:fill="auto"/>
          </w:tcPr>
          <w:p w14:paraId="56CE1134" w14:textId="77777777" w:rsidR="00365DE7" w:rsidRDefault="00A94550">
            <w:pPr>
              <w:pStyle w:val="TableContents"/>
              <w:jc w:val="center"/>
              <w:rPr>
                <w:b/>
                <w:bCs/>
              </w:rPr>
            </w:pPr>
            <w:r>
              <w:rPr>
                <w:b/>
                <w:bCs/>
              </w:rPr>
              <w:t>Person B</w:t>
            </w:r>
          </w:p>
        </w:tc>
      </w:tr>
      <w:tr w:rsidR="00365DE7" w14:paraId="28235756" w14:textId="77777777">
        <w:tc>
          <w:tcPr>
            <w:tcW w:w="1208" w:type="dxa"/>
            <w:tcBorders>
              <w:top w:val="single" w:sz="2" w:space="0" w:color="000000"/>
              <w:left w:val="single" w:sz="2" w:space="0" w:color="000000"/>
              <w:bottom w:val="single" w:sz="2" w:space="0" w:color="000000"/>
            </w:tcBorders>
            <w:shd w:val="clear" w:color="auto" w:fill="auto"/>
          </w:tcPr>
          <w:p w14:paraId="7E0205F4" w14:textId="77777777" w:rsidR="00365DE7" w:rsidRDefault="00A94550">
            <w:pPr>
              <w:pStyle w:val="TableContents"/>
              <w:jc w:val="center"/>
              <w:rPr>
                <w:b/>
                <w:bCs/>
              </w:rPr>
            </w:pPr>
            <w:r>
              <w:rPr>
                <w:b/>
                <w:bCs/>
              </w:rPr>
              <w:t>Messung</w:t>
            </w:r>
          </w:p>
        </w:tc>
        <w:tc>
          <w:tcPr>
            <w:tcW w:w="1208" w:type="dxa"/>
            <w:tcBorders>
              <w:top w:val="single" w:sz="2" w:space="0" w:color="000000"/>
              <w:left w:val="single" w:sz="2" w:space="0" w:color="000000"/>
              <w:bottom w:val="single" w:sz="2" w:space="0" w:color="000000"/>
            </w:tcBorders>
            <w:shd w:val="clear" w:color="auto" w:fill="auto"/>
          </w:tcPr>
          <w:p w14:paraId="2EAB4FC9"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365DE7" w:rsidRDefault="00A94550">
            <w:pPr>
              <w:pStyle w:val="TableContents"/>
              <w:jc w:val="center"/>
              <w:rPr>
                <w:b/>
                <w:bCs/>
              </w:rPr>
            </w:pPr>
            <w:r>
              <w:rPr>
                <w:b/>
                <w:bCs/>
              </w:rPr>
              <w:t>2</w:t>
            </w:r>
          </w:p>
        </w:tc>
        <w:tc>
          <w:tcPr>
            <w:tcW w:w="1208" w:type="dxa"/>
            <w:tcBorders>
              <w:top w:val="single" w:sz="2" w:space="0" w:color="000000"/>
              <w:left w:val="single" w:sz="2" w:space="0" w:color="000000"/>
              <w:bottom w:val="single" w:sz="2" w:space="0" w:color="000000"/>
            </w:tcBorders>
            <w:shd w:val="clear" w:color="auto" w:fill="auto"/>
          </w:tcPr>
          <w:p w14:paraId="6984E78F" w14:textId="77777777" w:rsidR="00365DE7" w:rsidRDefault="00A94550">
            <w:pPr>
              <w:pStyle w:val="TableContents"/>
              <w:jc w:val="center"/>
              <w:rPr>
                <w:b/>
                <w:bCs/>
              </w:rPr>
            </w:pPr>
            <w:r>
              <w:rPr>
                <w:b/>
                <w:bCs/>
              </w:rPr>
              <w:t>3</w:t>
            </w:r>
          </w:p>
        </w:tc>
        <w:tc>
          <w:tcPr>
            <w:tcW w:w="1208" w:type="dxa"/>
            <w:tcBorders>
              <w:top w:val="single" w:sz="2" w:space="0" w:color="000000"/>
              <w:left w:val="single" w:sz="2" w:space="0" w:color="000000"/>
              <w:bottom w:val="single" w:sz="2" w:space="0" w:color="000000"/>
            </w:tcBorders>
            <w:shd w:val="clear" w:color="auto" w:fill="auto"/>
          </w:tcPr>
          <w:p w14:paraId="2AB437E3"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5ED0B842" w14:textId="77777777" w:rsidR="00365DE7" w:rsidRDefault="00A94550">
            <w:pPr>
              <w:pStyle w:val="TableContents"/>
              <w:jc w:val="center"/>
              <w:rPr>
                <w:b/>
                <w:bCs/>
              </w:rPr>
            </w:pPr>
            <w:r>
              <w:rPr>
                <w:b/>
                <w:bCs/>
              </w:rP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839B00B" w14:textId="77777777" w:rsidR="00365DE7" w:rsidRDefault="00A94550">
            <w:pPr>
              <w:pStyle w:val="TableContents"/>
              <w:jc w:val="center"/>
              <w:rPr>
                <w:b/>
                <w:bCs/>
              </w:rPr>
            </w:pPr>
            <w:r>
              <w:rPr>
                <w:b/>
                <w:bCs/>
              </w:rPr>
              <w:t>3</w:t>
            </w:r>
          </w:p>
        </w:tc>
      </w:tr>
      <w:tr w:rsidR="00365DE7" w14:paraId="5039A7EF" w14:textId="77777777">
        <w:tc>
          <w:tcPr>
            <w:tcW w:w="1208" w:type="dxa"/>
            <w:tcBorders>
              <w:top w:val="single" w:sz="2" w:space="0" w:color="000000"/>
              <w:left w:val="single" w:sz="2" w:space="0" w:color="000000"/>
              <w:bottom w:val="single" w:sz="2" w:space="0" w:color="000000"/>
            </w:tcBorders>
            <w:shd w:val="clear" w:color="auto" w:fill="auto"/>
          </w:tcPr>
          <w:p w14:paraId="6EDA40B3" w14:textId="77777777" w:rsidR="00365DE7" w:rsidRDefault="00A94550">
            <w:pPr>
              <w:pStyle w:val="TableContents"/>
            </w:pPr>
            <w:r>
              <w:t>100 ml</w:t>
            </w:r>
          </w:p>
        </w:tc>
        <w:tc>
          <w:tcPr>
            <w:tcW w:w="1208" w:type="dxa"/>
            <w:tcBorders>
              <w:top w:val="single" w:sz="2" w:space="0" w:color="000000"/>
              <w:left w:val="single" w:sz="2" w:space="0" w:color="000000"/>
              <w:bottom w:val="single" w:sz="2" w:space="0" w:color="000000"/>
            </w:tcBorders>
            <w:shd w:val="clear" w:color="auto" w:fill="auto"/>
          </w:tcPr>
          <w:p w14:paraId="45F117A7"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25945C7E"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47AD037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536C020B" w14:textId="77777777" w:rsidR="00365DE7" w:rsidRDefault="00A94550">
            <w:pPr>
              <w:pStyle w:val="TableContents"/>
            </w:pPr>
            <w:r>
              <w:t>1</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719730D7" w14:textId="77777777" w:rsidR="00365DE7" w:rsidRDefault="00A94550">
            <w:pPr>
              <w:pStyle w:val="TableContents"/>
            </w:pPr>
            <w:r>
              <w:t>5</w:t>
            </w:r>
          </w:p>
        </w:tc>
      </w:tr>
      <w:tr w:rsidR="00365DE7" w14:paraId="391622F7" w14:textId="77777777">
        <w:tc>
          <w:tcPr>
            <w:tcW w:w="1208" w:type="dxa"/>
            <w:tcBorders>
              <w:top w:val="single" w:sz="2" w:space="0" w:color="000000"/>
              <w:left w:val="single" w:sz="2" w:space="0" w:color="000000"/>
              <w:bottom w:val="single" w:sz="2" w:space="0" w:color="000000"/>
            </w:tcBorders>
            <w:shd w:val="clear" w:color="auto" w:fill="auto"/>
          </w:tcPr>
          <w:p w14:paraId="4EEC512B" w14:textId="77777777" w:rsidR="00365DE7" w:rsidRDefault="00A94550">
            <w:pPr>
              <w:pStyle w:val="TableContents"/>
            </w:pPr>
            <w:r>
              <w:t>200 ml</w:t>
            </w:r>
          </w:p>
        </w:tc>
        <w:tc>
          <w:tcPr>
            <w:tcW w:w="1208" w:type="dxa"/>
            <w:tcBorders>
              <w:top w:val="single" w:sz="2" w:space="0" w:color="000000"/>
              <w:left w:val="single" w:sz="2" w:space="0" w:color="000000"/>
              <w:bottom w:val="single" w:sz="2" w:space="0" w:color="000000"/>
            </w:tcBorders>
            <w:shd w:val="clear" w:color="auto" w:fill="auto"/>
          </w:tcPr>
          <w:p w14:paraId="5AF2B430"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50F2EBC1"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124B2A5A"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68A46D00" w14:textId="77777777" w:rsidR="00365DE7" w:rsidRDefault="00A94550">
            <w:pPr>
              <w:pStyle w:val="TableContents"/>
            </w:pPr>
            <w: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6F67C95" w14:textId="77777777" w:rsidR="00365DE7" w:rsidRDefault="00A94550">
            <w:pPr>
              <w:pStyle w:val="TableContents"/>
            </w:pPr>
            <w:r>
              <w:t>4</w:t>
            </w:r>
          </w:p>
        </w:tc>
      </w:tr>
      <w:tr w:rsidR="00365DE7" w14:paraId="0DBEE58A" w14:textId="77777777">
        <w:tc>
          <w:tcPr>
            <w:tcW w:w="1208" w:type="dxa"/>
            <w:tcBorders>
              <w:top w:val="single" w:sz="2" w:space="0" w:color="000000"/>
              <w:left w:val="single" w:sz="2" w:space="0" w:color="000000"/>
              <w:bottom w:val="single" w:sz="2" w:space="0" w:color="000000"/>
            </w:tcBorders>
            <w:shd w:val="clear" w:color="auto" w:fill="auto"/>
          </w:tcPr>
          <w:p w14:paraId="21483879" w14:textId="77777777" w:rsidR="00365DE7" w:rsidRDefault="00A94550">
            <w:pPr>
              <w:pStyle w:val="TableContents"/>
            </w:pPr>
            <w:r>
              <w:t>300 ml</w:t>
            </w:r>
          </w:p>
        </w:tc>
        <w:tc>
          <w:tcPr>
            <w:tcW w:w="1208" w:type="dxa"/>
            <w:tcBorders>
              <w:top w:val="single" w:sz="2" w:space="0" w:color="000000"/>
              <w:left w:val="single" w:sz="2" w:space="0" w:color="000000"/>
              <w:bottom w:val="single" w:sz="2" w:space="0" w:color="000000"/>
            </w:tcBorders>
            <w:shd w:val="clear" w:color="auto" w:fill="auto"/>
          </w:tcPr>
          <w:p w14:paraId="6AAB2C28"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34EA23E3"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156F8353"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720DC20B" w14:textId="77777777" w:rsidR="00365DE7" w:rsidRDefault="00A94550">
            <w:pPr>
              <w:pStyle w:val="TableContents"/>
            </w:pPr>
            <w:r>
              <w:t>5</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14DA175C" w14:textId="77777777" w:rsidR="00365DE7" w:rsidRDefault="00A94550">
            <w:pPr>
              <w:pStyle w:val="TableContents"/>
            </w:pPr>
            <w:r>
              <w:t>2</w:t>
            </w:r>
          </w:p>
        </w:tc>
      </w:tr>
      <w:tr w:rsidR="00365DE7" w14:paraId="2343158E" w14:textId="77777777">
        <w:tc>
          <w:tcPr>
            <w:tcW w:w="1208" w:type="dxa"/>
            <w:tcBorders>
              <w:top w:val="single" w:sz="2" w:space="0" w:color="000000"/>
              <w:left w:val="single" w:sz="2" w:space="0" w:color="000000"/>
              <w:bottom w:val="single" w:sz="2" w:space="0" w:color="000000"/>
            </w:tcBorders>
            <w:shd w:val="clear" w:color="auto" w:fill="auto"/>
          </w:tcPr>
          <w:p w14:paraId="6F788CB0" w14:textId="77777777" w:rsidR="00365DE7" w:rsidRDefault="00A94550">
            <w:pPr>
              <w:pStyle w:val="TableContents"/>
            </w:pPr>
            <w:r>
              <w:t>400 ml</w:t>
            </w:r>
          </w:p>
        </w:tc>
        <w:tc>
          <w:tcPr>
            <w:tcW w:w="1208" w:type="dxa"/>
            <w:tcBorders>
              <w:top w:val="single" w:sz="2" w:space="0" w:color="000000"/>
              <w:left w:val="single" w:sz="2" w:space="0" w:color="000000"/>
              <w:bottom w:val="single" w:sz="2" w:space="0" w:color="000000"/>
            </w:tcBorders>
            <w:shd w:val="clear" w:color="auto" w:fill="auto"/>
          </w:tcPr>
          <w:p w14:paraId="7EBA268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581C1893"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48E797AB"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77B253E8" w14:textId="77777777" w:rsidR="00365DE7" w:rsidRDefault="00A94550">
            <w:pPr>
              <w:pStyle w:val="TableContents"/>
            </w:pPr>
            <w:r>
              <w:t>4</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F49F4DA" w14:textId="77777777" w:rsidR="00365DE7" w:rsidRDefault="00A94550">
            <w:pPr>
              <w:pStyle w:val="TableContents"/>
            </w:pPr>
            <w:r>
              <w:t>3</w:t>
            </w:r>
          </w:p>
        </w:tc>
      </w:tr>
      <w:tr w:rsidR="00365DE7" w14:paraId="62B1A785" w14:textId="77777777">
        <w:tc>
          <w:tcPr>
            <w:tcW w:w="1208" w:type="dxa"/>
            <w:tcBorders>
              <w:top w:val="single" w:sz="2" w:space="0" w:color="000000"/>
              <w:left w:val="single" w:sz="2" w:space="0" w:color="000000"/>
              <w:bottom w:val="single" w:sz="2" w:space="0" w:color="000000"/>
            </w:tcBorders>
            <w:shd w:val="clear" w:color="auto" w:fill="auto"/>
          </w:tcPr>
          <w:p w14:paraId="5F9EB191" w14:textId="77777777" w:rsidR="00365DE7" w:rsidRDefault="00A94550">
            <w:pPr>
              <w:pStyle w:val="TableContents"/>
            </w:pPr>
            <w:r>
              <w:t>500 ml</w:t>
            </w:r>
          </w:p>
        </w:tc>
        <w:tc>
          <w:tcPr>
            <w:tcW w:w="1208" w:type="dxa"/>
            <w:tcBorders>
              <w:top w:val="single" w:sz="2" w:space="0" w:color="000000"/>
              <w:left w:val="single" w:sz="2" w:space="0" w:color="000000"/>
              <w:bottom w:val="single" w:sz="2" w:space="0" w:color="000000"/>
            </w:tcBorders>
            <w:shd w:val="clear" w:color="auto" w:fill="auto"/>
          </w:tcPr>
          <w:p w14:paraId="660EDE5E"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31F0B21C"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79ED9AA9"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2B5331F8" w14:textId="77777777" w:rsidR="00365DE7" w:rsidRDefault="00A94550">
            <w:pPr>
              <w:pStyle w:val="TableContents"/>
            </w:pPr>
            <w:r>
              <w:t>3</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31B0B237" w14:textId="77777777" w:rsidR="00365DE7" w:rsidRDefault="00A94550">
            <w:pPr>
              <w:pStyle w:val="TableContents"/>
            </w:pPr>
            <w:r>
              <w:t>1</w:t>
            </w:r>
          </w:p>
        </w:tc>
      </w:tr>
    </w:tbl>
    <w:p w14:paraId="5474745A" w14:textId="77777777" w:rsidR="00365DE7" w:rsidRDefault="00365DE7"/>
    <w:p w14:paraId="12A09523" w14:textId="77777777" w:rsidR="00365DE7" w:rsidRDefault="00A94550">
      <w:r>
        <w:br w:type="page"/>
      </w:r>
    </w:p>
    <w:p w14:paraId="35861D88" w14:textId="77777777" w:rsidR="00365DE7" w:rsidRDefault="00A94550">
      <w:pPr>
        <w:pStyle w:val="Heading1"/>
        <w:numPr>
          <w:ilvl w:val="0"/>
          <w:numId w:val="2"/>
        </w:numPr>
        <w:ind w:left="720" w:hanging="720"/>
      </w:pPr>
      <w:r>
        <w:lastRenderedPageBreak/>
        <w:t>Messanleitung</w:t>
      </w:r>
    </w:p>
    <w:p w14:paraId="3EA15862" w14:textId="2525B313" w:rsidR="00A94550" w:rsidRDefault="00A94550" w:rsidP="00A94550">
      <w:r>
        <w:t>Vor der Messung:</w:t>
      </w:r>
    </w:p>
    <w:p w14:paraId="4EC87FA4" w14:textId="77777777"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Gramm Schritten von 0 bis 500 Gramm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Heading1"/>
        <w:numPr>
          <w:ilvl w:val="0"/>
          <w:numId w:val="2"/>
        </w:numPr>
        <w:ind w:left="720" w:hanging="720"/>
      </w:pPr>
      <w:r>
        <w:lastRenderedPageBreak/>
        <w:t>Auswertung</w:t>
      </w:r>
    </w:p>
    <w:p w14:paraId="6C802EA9" w14:textId="77777777" w:rsidR="00365DE7" w:rsidRDefault="00A94550">
      <w:r>
        <w:t>Anbei als PDF und MLX.</w:t>
      </w:r>
    </w:p>
    <w:p w14:paraId="0C8AE975" w14:textId="77777777" w:rsidR="00365DE7" w:rsidRDefault="00365DE7"/>
    <w:p w14:paraId="482ADBE2" w14:textId="77777777" w:rsidR="00365DE7" w:rsidRDefault="00A94550">
      <w:r>
        <w:t>ToDo</w:t>
      </w:r>
    </w:p>
    <w:p w14:paraId="2F4257A7" w14:textId="77777777" w:rsidR="00365DE7" w:rsidRDefault="00A94550">
      <w:r>
        <w:t>- Daten MSA1 einlesen</w:t>
      </w:r>
    </w:p>
    <w:p w14:paraId="1F296063" w14:textId="77777777" w:rsidR="00365DE7" w:rsidRDefault="00A94550">
      <w:r>
        <w:t>- Linearität prüfen</w:t>
      </w:r>
    </w:p>
    <w:p w14:paraId="11636AB8" w14:textId="77777777" w:rsidR="00365DE7" w:rsidRDefault="00365DE7"/>
    <w:p w14:paraId="2E01C387" w14:textId="77777777" w:rsidR="00365DE7" w:rsidRDefault="00A94550">
      <w:r>
        <w:t xml:space="preserve">- Daten MSA2 Datum 1 </w:t>
      </w:r>
      <w:bookmarkStart w:id="0" w:name="__DdeLink__43_3972487847"/>
      <w:r>
        <w:t>Person A und B einlesen</w:t>
      </w:r>
      <w:bookmarkEnd w:id="0"/>
    </w:p>
    <w:p w14:paraId="14B6CBBE" w14:textId="77777777" w:rsidR="00365DE7" w:rsidRDefault="00A94550">
      <w:r>
        <w:t>- Daten MSA2 Datum 2 Person A und B einlesen</w:t>
      </w:r>
    </w:p>
    <w:p w14:paraId="43B2E641" w14:textId="77777777" w:rsidR="00365DE7" w:rsidRDefault="00A94550">
      <w:r>
        <w:t>- Auswerten MSA2</w:t>
      </w:r>
    </w:p>
    <w:p w14:paraId="4138283A" w14:textId="77777777" w:rsidR="00365DE7" w:rsidRDefault="00A94550">
      <w:r>
        <w:t>- zeitlich stabil?</w:t>
      </w:r>
    </w:p>
    <w:p w14:paraId="226C0008" w14:textId="77777777" w:rsidR="00365DE7" w:rsidRDefault="00A94550">
      <w:r>
        <w:t>- Unterschiede Person A und B erkennbar?</w:t>
      </w:r>
    </w:p>
    <w:p w14:paraId="2449E6E9" w14:textId="77777777" w:rsidR="00365DE7" w:rsidRDefault="00365DE7"/>
    <w:p w14:paraId="422C2E5E" w14:textId="77777777" w:rsidR="00365DE7" w:rsidRDefault="00A94550">
      <w:pPr>
        <w:pStyle w:val="Heading1"/>
        <w:numPr>
          <w:ilvl w:val="0"/>
          <w:numId w:val="2"/>
        </w:numPr>
        <w:ind w:left="720" w:hanging="720"/>
      </w:pPr>
      <w:r>
        <w:lastRenderedPageBreak/>
        <w:t>Diskussion</w:t>
      </w:r>
    </w:p>
    <w:p w14:paraId="33FBAF0E" w14:textId="77777777" w:rsidR="00365DE7" w:rsidRDefault="00A94550">
      <w:r>
        <w:t>- Ergebnisse aus MATLAB Script diskutieren</w:t>
      </w:r>
    </w:p>
    <w:p w14:paraId="59777CEF" w14:textId="77777777" w:rsidR="00365DE7" w:rsidRDefault="00A94550">
      <w:r>
        <w:t>- ist Messbecher als Messmittel fähig?</w:t>
      </w:r>
    </w:p>
    <w:p w14:paraId="5800B64A" w14:textId="5684D1F2" w:rsidR="00365DE7" w:rsidRDefault="00A94550">
      <w:r>
        <w:t>- was könnte verbessert werden?</w:t>
      </w:r>
    </w:p>
    <w:p w14:paraId="407722BB" w14:textId="357C3667" w:rsidR="00640B04" w:rsidRDefault="00640B04"/>
    <w:p w14:paraId="6CD9A7EE" w14:textId="19F5F78D" w:rsidR="00B14CEF" w:rsidRDefault="00640B04">
      <w:r>
        <w:t>In Ver</w:t>
      </w:r>
      <w:r w:rsidR="009D3807">
        <w:t>fahren</w:t>
      </w:r>
      <w:r w:rsidR="00D2764D">
        <w:t xml:space="preserve"> 1 zur Messsystemanalyse</w:t>
      </w:r>
      <w:r>
        <w:t xml:space="preserve"> ergaben die Fähigkeitskennzahl</w:t>
      </w:r>
      <w:r w:rsidR="0079320A">
        <w:t>,</w:t>
      </w:r>
      <w:r w:rsidR="005261B3">
        <w:t xml:space="preserve"> von den vier Prüfern</w:t>
      </w:r>
      <w:r w:rsidR="0079320A">
        <w:t>,</w:t>
      </w:r>
      <w:r w:rsidR="005261B3">
        <w:t xml:space="preserve"> </w:t>
      </w:r>
      <w:r>
        <w:t>Werte zwischen</w:t>
      </w:r>
      <w:r w:rsidR="001C1BAD">
        <w:t xml:space="preserve"> 2.1146 (Jan)</w:t>
      </w:r>
      <w:r>
        <w:t xml:space="preserve"> und 7.5602 (Michael).</w:t>
      </w:r>
      <w:r w:rsidR="002467FA">
        <w:t xml:space="preserve"> Die kritische Fähigkeitskennzahl liegt zwischen </w:t>
      </w:r>
      <w:r w:rsidR="00A4570B">
        <w:t>2.1129 (Jan)</w:t>
      </w:r>
      <w:r w:rsidR="00F410AC">
        <w:t xml:space="preserve"> und</w:t>
      </w:r>
      <w:r w:rsidR="00A4570B">
        <w:t xml:space="preserve"> 6.5199 (Michael)</w:t>
      </w:r>
      <w:r w:rsidR="008471DF">
        <w:t xml:space="preserve"> und war bei jedem Prüfer geringer als die Fähigkeitszahl</w:t>
      </w:r>
      <w:r w:rsidR="00F077D7">
        <w:t xml:space="preserve">. </w:t>
      </w:r>
      <w:r w:rsidR="00B768CE">
        <w:t xml:space="preserve">Die Fähigkeitskennzahl ist größer als 1.33 und die kritische Fähigkeitskennzahl größer als 1.0. </w:t>
      </w:r>
      <w:r w:rsidR="002450C2">
        <w:t>Die Standardverteilung liegt</w:t>
      </w:r>
      <w:r w:rsidR="00E21FA2">
        <w:t xml:space="preserve"> s</w:t>
      </w:r>
      <w:r w:rsidR="00272B9A">
        <w:t>omit</w:t>
      </w:r>
      <w:r w:rsidR="002450C2">
        <w:t xml:space="preserve"> innerhalb der Toleranzgrenzen der Spe</w:t>
      </w:r>
      <w:r w:rsidR="00B01075">
        <w:t>zi</w:t>
      </w:r>
      <w:r w:rsidR="002450C2">
        <w:t xml:space="preserve">fikationsgrenzen. </w:t>
      </w:r>
      <w:r w:rsidR="00190E53">
        <w:t>Die Streuung der Messwerte ist außerdem gering</w:t>
      </w:r>
      <w:r w:rsidR="005F4533">
        <w:t>.</w:t>
      </w:r>
      <w:r w:rsidR="008201CD">
        <w:t xml:space="preserve"> </w:t>
      </w:r>
      <w:r w:rsidR="008201CD">
        <w:t>Der Messprozess wird nach Verfahren 1 als geeignet eingestuft, die Messanleitung entspricht den Anforderungen. Die Bedingungen für die Durchführung des Verfahrens 2 ist somit erfüllt.</w:t>
      </w:r>
    </w:p>
    <w:p w14:paraId="0C26A714" w14:textId="77777777" w:rsidR="008201CD" w:rsidRDefault="008201CD"/>
    <w:p w14:paraId="71D553D1" w14:textId="60E54AE5" w:rsidR="00B14CEF" w:rsidRDefault="00B14CEF">
      <w:r>
        <w:t>Die Linearität ist bei den Messungen der verschiedenen Prüfer immer gegeben.</w:t>
      </w:r>
      <w:r w:rsidR="004C4024">
        <w:t xml:space="preserve"> Die Lineare Regression verläuft als gerade durch den Ursprung ohne eine systematische Abweichung.</w:t>
      </w:r>
    </w:p>
    <w:p w14:paraId="2FFC5EF2" w14:textId="7FD3354A" w:rsidR="009D3807" w:rsidRDefault="009D3807"/>
    <w:p w14:paraId="64B064BF" w14:textId="0272ADAD" w:rsidR="009D3807" w:rsidRDefault="00B25A82">
      <w:r>
        <w:t xml:space="preserve">In Verfahren 2 zur Messsystemanalyse </w:t>
      </w:r>
      <w:r w:rsidR="004E4902">
        <w:t xml:space="preserve">beträgt die </w:t>
      </w:r>
      <w:r w:rsidR="00276CA3">
        <w:t xml:space="preserve">Streuung der </w:t>
      </w:r>
      <w:r w:rsidR="004E4902">
        <w:t>Gage Repeatability and Reproducibility</w:t>
      </w:r>
      <w:r w:rsidR="00DC7B6D">
        <w:t xml:space="preserve"> (GRR)</w:t>
      </w:r>
      <w:r w:rsidR="001034E5">
        <w:t xml:space="preserve"> zwischen 0.5 (Michael) und 2.9 (Anna), wobei Bennis Werte</w:t>
      </w:r>
      <w:r w:rsidR="008649E1">
        <w:t xml:space="preserve"> (31.6)</w:t>
      </w:r>
      <w:r w:rsidR="001034E5">
        <w:t xml:space="preserve"> als Messfehler angesehen werden, und somit nicht mit in die Messanalyse eingehen.</w:t>
      </w:r>
    </w:p>
    <w:p w14:paraId="78C79190" w14:textId="27F4E1AF" w:rsidR="00DC7B6D" w:rsidRDefault="00DC7B6D">
      <w:r>
        <w:t>Da der GRR zwischen 0% und 20% liegt, ist das Messgerät, der Messbecher, geeignet für Flüssigkeitsabmessungen.</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1034E5"/>
    <w:rsid w:val="00190E53"/>
    <w:rsid w:val="001C1BAD"/>
    <w:rsid w:val="002450C2"/>
    <w:rsid w:val="002467FA"/>
    <w:rsid w:val="00272B9A"/>
    <w:rsid w:val="00276CA3"/>
    <w:rsid w:val="00365DE7"/>
    <w:rsid w:val="004C4024"/>
    <w:rsid w:val="004E4902"/>
    <w:rsid w:val="005261B3"/>
    <w:rsid w:val="00563633"/>
    <w:rsid w:val="005A0EB0"/>
    <w:rsid w:val="005F4533"/>
    <w:rsid w:val="006022CE"/>
    <w:rsid w:val="00640B04"/>
    <w:rsid w:val="0079320A"/>
    <w:rsid w:val="008052D4"/>
    <w:rsid w:val="008201CD"/>
    <w:rsid w:val="008471DF"/>
    <w:rsid w:val="008649E1"/>
    <w:rsid w:val="009D3807"/>
    <w:rsid w:val="00A42698"/>
    <w:rsid w:val="00A4570B"/>
    <w:rsid w:val="00A94550"/>
    <w:rsid w:val="00B01075"/>
    <w:rsid w:val="00B14CEF"/>
    <w:rsid w:val="00B25A82"/>
    <w:rsid w:val="00B768CE"/>
    <w:rsid w:val="00C54E4B"/>
    <w:rsid w:val="00D2764D"/>
    <w:rsid w:val="00DC7B6D"/>
    <w:rsid w:val="00E21FA2"/>
    <w:rsid w:val="00E61B7F"/>
    <w:rsid w:val="00F077D7"/>
    <w:rsid w:val="00F410AC"/>
    <w:rsid w:val="00FC759C"/>
    <w:rsid w:val="00FF6B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before="120" w:line="312" w:lineRule="auto"/>
      <w:jc w:val="both"/>
    </w:pPr>
    <w:rPr>
      <w:sz w:val="24"/>
    </w:rPr>
  </w:style>
  <w:style w:type="paragraph" w:styleId="Heading1">
    <w:name w:val="heading 1"/>
    <w:basedOn w:val="Normal"/>
    <w:next w:val="Normal"/>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Heading2">
    <w:name w:val="heading 2"/>
    <w:basedOn w:val="Heading1"/>
    <w:next w:val="Normal"/>
    <w:uiPriority w:val="9"/>
    <w:semiHidden/>
    <w:unhideWhenUsed/>
    <w:qFormat/>
    <w:pPr>
      <w:pageBreakBefore w:val="0"/>
      <w:numPr>
        <w:ilvl w:val="1"/>
      </w:numPr>
      <w:spacing w:before="480"/>
      <w:ind w:left="720" w:hanging="720"/>
      <w:outlineLvl w:val="1"/>
    </w:pPr>
    <w:rPr>
      <w:sz w:val="28"/>
    </w:rPr>
  </w:style>
  <w:style w:type="paragraph" w:styleId="Heading3">
    <w:name w:val="heading 3"/>
    <w:basedOn w:val="Heading2"/>
    <w:next w:val="Normal"/>
    <w:uiPriority w:val="9"/>
    <w:semiHidden/>
    <w:unhideWhenUsed/>
    <w:qFormat/>
    <w:pPr>
      <w:numPr>
        <w:ilvl w:val="2"/>
      </w:numPr>
      <w:spacing w:before="360"/>
      <w:ind w:left="720" w:hanging="720"/>
      <w:outlineLvl w:val="2"/>
    </w:pPr>
    <w:rPr>
      <w:sz w:val="24"/>
    </w:rPr>
  </w:style>
  <w:style w:type="paragraph" w:styleId="Heading4">
    <w:name w:val="heading 4"/>
    <w:basedOn w:val="Heading3"/>
    <w:next w:val="Normal"/>
    <w:uiPriority w:val="9"/>
    <w:semiHidden/>
    <w:unhideWhenUsed/>
    <w:qFormat/>
    <w:pPr>
      <w:numPr>
        <w:ilvl w:val="3"/>
      </w:numPr>
      <w:spacing w:before="240"/>
      <w:ind w:left="720" w:hanging="720"/>
      <w:outlineLvl w:val="3"/>
    </w:pPr>
    <w:rPr>
      <w:b w:val="0"/>
    </w:rPr>
  </w:style>
  <w:style w:type="paragraph" w:styleId="Heading5">
    <w:name w:val="heading 5"/>
    <w:basedOn w:val="Heading4"/>
    <w:next w:val="Normal"/>
    <w:uiPriority w:val="9"/>
    <w:semiHidden/>
    <w:unhideWhenUsed/>
    <w:qFormat/>
    <w:pPr>
      <w:numPr>
        <w:ilvl w:val="4"/>
      </w:numPr>
      <w:ind w:left="720" w:hanging="720"/>
      <w:outlineLvl w:val="4"/>
    </w:pPr>
  </w:style>
  <w:style w:type="paragraph" w:styleId="Heading6">
    <w:name w:val="heading 6"/>
    <w:basedOn w:val="Heading5"/>
    <w:next w:val="Normal"/>
    <w:uiPriority w:val="9"/>
    <w:semiHidden/>
    <w:unhideWhenUsed/>
    <w:qFormat/>
    <w:pPr>
      <w:numPr>
        <w:ilvl w:val="5"/>
      </w:numPr>
      <w:ind w:left="720" w:hanging="720"/>
      <w:outlineLvl w:val="5"/>
    </w:pPr>
  </w:style>
  <w:style w:type="paragraph" w:styleId="Heading7">
    <w:name w:val="heading 7"/>
    <w:basedOn w:val="Heading6"/>
    <w:next w:val="Normal"/>
    <w:qFormat/>
    <w:pPr>
      <w:numPr>
        <w:ilvl w:val="6"/>
      </w:numPr>
      <w:ind w:left="720" w:hanging="720"/>
      <w:outlineLvl w:val="6"/>
    </w:pPr>
  </w:style>
  <w:style w:type="paragraph" w:styleId="Heading8">
    <w:name w:val="heading 8"/>
    <w:basedOn w:val="Heading7"/>
    <w:next w:val="Normal"/>
    <w:qFormat/>
    <w:pPr>
      <w:numPr>
        <w:ilvl w:val="7"/>
      </w:numPr>
      <w:ind w:left="720" w:hanging="720"/>
      <w:outlineLvl w:val="7"/>
    </w:pPr>
  </w:style>
  <w:style w:type="paragraph" w:styleId="Heading9">
    <w:name w:val="heading 9"/>
    <w:basedOn w:val="Heading8"/>
    <w:next w:val="Normal"/>
    <w:qFormat/>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DefaultParagraphFon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DefaultParagraphFont"/>
    <w:qFormat/>
    <w:rPr>
      <w:rFonts w:ascii="Arial" w:hAnsi="Arial"/>
      <w:b/>
      <w:kern w:val="2"/>
      <w:sz w:val="44"/>
    </w:rPr>
  </w:style>
  <w:style w:type="character" w:customStyle="1" w:styleId="CommentTextChar">
    <w:name w:val="Comment Text Char"/>
    <w:basedOn w:val="DefaultParagraphFont"/>
    <w:qFormat/>
    <w:rPr>
      <w:sz w:val="24"/>
    </w:rPr>
  </w:style>
  <w:style w:type="character" w:customStyle="1" w:styleId="CommentSubjectChar">
    <w:name w:val="Comment Subject Char"/>
    <w:basedOn w:val="CommentTextChar"/>
    <w:qFormat/>
    <w:rPr>
      <w:b/>
      <w:bCs/>
      <w:sz w:val="24"/>
    </w:rPr>
  </w:style>
  <w:style w:type="character" w:styleId="PlaceholderText">
    <w:name w:val="Placeholder Text"/>
    <w:basedOn w:val="DefaultParagraphFon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pPr>
  </w:style>
  <w:style w:type="paragraph" w:styleId="List">
    <w:name w:val="List"/>
    <w:basedOn w:val="Normal"/>
    <w:pPr>
      <w:ind w:left="357" w:hanging="357"/>
    </w:pPr>
  </w:style>
  <w:style w:type="paragraph" w:styleId="Caption">
    <w:name w:val="caption"/>
    <w:basedOn w:val="Normal"/>
    <w:next w:val="Normal"/>
    <w:qFormat/>
    <w:pPr>
      <w:spacing w:after="360"/>
    </w:p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pPr>
      <w:tabs>
        <w:tab w:val="right" w:leader="dot" w:pos="8505"/>
      </w:tabs>
      <w:spacing w:before="240" w:line="240" w:lineRule="auto"/>
      <w:ind w:left="680" w:right="424" w:hanging="680"/>
      <w:jc w:val="left"/>
    </w:pPr>
    <w:rPr>
      <w:b/>
    </w:rPr>
  </w:style>
  <w:style w:type="paragraph" w:styleId="TOC2">
    <w:name w:val="toc 2"/>
    <w:basedOn w:val="TOC1"/>
    <w:next w:val="Normal"/>
    <w:autoRedefine/>
    <w:pPr>
      <w:tabs>
        <w:tab w:val="left" w:pos="680"/>
      </w:tabs>
      <w:spacing w:before="120"/>
    </w:pPr>
    <w:rPr>
      <w:b w:val="0"/>
    </w:rPr>
  </w:style>
  <w:style w:type="paragraph" w:styleId="TOC3">
    <w:name w:val="toc 3"/>
    <w:basedOn w:val="TOC2"/>
    <w:next w:val="Normal"/>
    <w:autoRedefine/>
    <w:pPr>
      <w:tabs>
        <w:tab w:val="left" w:pos="1004"/>
      </w:tabs>
      <w:spacing w:before="60"/>
    </w:pPr>
  </w:style>
  <w:style w:type="paragraph" w:styleId="EnvelopeReturn">
    <w:name w:val="envelope return"/>
    <w:basedOn w:val="Normal"/>
    <w:qFormat/>
  </w:style>
  <w:style w:type="paragraph" w:styleId="BalloonText">
    <w:name w:val="Balloon Text"/>
    <w:basedOn w:val="Normal"/>
    <w:qFormat/>
    <w:pPr>
      <w:spacing w:before="0" w:line="240" w:lineRule="auto"/>
    </w:pPr>
    <w:rPr>
      <w:rFonts w:ascii="Tahoma" w:hAnsi="Tahoma" w:cs="Tahoma"/>
      <w:sz w:val="16"/>
      <w:szCs w:val="16"/>
    </w:rPr>
  </w:style>
  <w:style w:type="paragraph" w:customStyle="1" w:styleId="Computerprogramm">
    <w:name w:val="Computerprogramm"/>
    <w:basedOn w:val="Normal"/>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Bibliography">
    <w:name w:val="Bibliography"/>
    <w:basedOn w:val="Normal"/>
    <w:autoRedefine/>
    <w:qFormat/>
    <w:pPr>
      <w:jc w:val="left"/>
    </w:pPr>
  </w:style>
  <w:style w:type="paragraph" w:styleId="FootnoteText">
    <w:name w:val="footnote text"/>
    <w:basedOn w:val="Normal"/>
    <w:pPr>
      <w:tabs>
        <w:tab w:val="left" w:pos="284"/>
      </w:tabs>
      <w:spacing w:before="60" w:line="240" w:lineRule="auto"/>
      <w:ind w:left="284" w:hanging="284"/>
    </w:pPr>
    <w:rPr>
      <w:sz w:val="20"/>
    </w:rPr>
  </w:style>
  <w:style w:type="paragraph" w:styleId="Header">
    <w:name w:val="header"/>
    <w:basedOn w:val="Normal"/>
    <w:pPr>
      <w:pBdr>
        <w:bottom w:val="single" w:sz="4" w:space="1" w:color="000000"/>
      </w:pBdr>
      <w:tabs>
        <w:tab w:val="right" w:pos="7938"/>
      </w:tabs>
      <w:spacing w:line="240" w:lineRule="auto"/>
    </w:pPr>
    <w:rPr>
      <w:sz w:val="20"/>
    </w:rPr>
  </w:style>
  <w:style w:type="paragraph" w:styleId="TableofFigures">
    <w:name w:val="table of figures"/>
    <w:basedOn w:val="TOC3"/>
    <w:next w:val="Normal"/>
    <w:autoRedefine/>
    <w:qFormat/>
    <w:pPr>
      <w:ind w:left="709" w:hanging="709"/>
    </w:pPr>
  </w:style>
  <w:style w:type="paragraph" w:styleId="ListBullet2">
    <w:name w:val="List Bullet 2"/>
    <w:basedOn w:val="Normal"/>
    <w:qFormat/>
    <w:pPr>
      <w:tabs>
        <w:tab w:val="left" w:pos="720"/>
      </w:tabs>
      <w:ind w:left="714" w:hanging="357"/>
    </w:pPr>
  </w:style>
  <w:style w:type="paragraph" w:customStyle="1" w:styleId="Abbildung">
    <w:name w:val="Abbildung"/>
    <w:basedOn w:val="Normal"/>
    <w:next w:val="Caption"/>
    <w:qFormat/>
    <w:pPr>
      <w:keepNext/>
      <w:spacing w:before="480"/>
      <w:jc w:val="center"/>
    </w:pPr>
  </w:style>
  <w:style w:type="paragraph" w:styleId="Footer">
    <w:name w:val="footer"/>
    <w:basedOn w:val="Normal"/>
    <w:pPr>
      <w:tabs>
        <w:tab w:val="center" w:pos="4536"/>
        <w:tab w:val="right" w:pos="9072"/>
      </w:tabs>
    </w:pPr>
  </w:style>
  <w:style w:type="paragraph" w:styleId="ListBullet">
    <w:name w:val="List Bullet"/>
    <w:basedOn w:val="Normal"/>
    <w:qFormat/>
  </w:style>
  <w:style w:type="paragraph" w:styleId="Quote">
    <w:name w:val="Quote"/>
    <w:basedOn w:val="Normal"/>
    <w:qFormat/>
    <w:pPr>
      <w:ind w:left="680" w:right="680"/>
    </w:pPr>
    <w:rPr>
      <w:i/>
    </w:rPr>
  </w:style>
  <w:style w:type="paragraph" w:styleId="Salutation">
    <w:name w:val="Salutation"/>
    <w:basedOn w:val="Normal"/>
    <w:next w:val="Normal"/>
  </w:style>
  <w:style w:type="paragraph" w:styleId="BlockText">
    <w:name w:val="Block Text"/>
    <w:basedOn w:val="Normal"/>
    <w:qFormat/>
    <w:pPr>
      <w:ind w:left="1440" w:right="1440"/>
    </w:p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ndnoteText">
    <w:name w:val="endnote text"/>
    <w:basedOn w:val="Normal"/>
  </w:style>
  <w:style w:type="paragraph" w:styleId="NoteHeading">
    <w:name w:val="Note Heading"/>
    <w:basedOn w:val="Normal"/>
    <w:next w:val="Normal"/>
    <w:qFormat/>
  </w:style>
  <w:style w:type="paragraph" w:styleId="Closing">
    <w:name w:val="Closing"/>
    <w:basedOn w:val="Normal"/>
    <w:qFormat/>
    <w:pPr>
      <w:ind w:left="4252"/>
    </w:pPr>
  </w:style>
  <w:style w:type="paragraph" w:styleId="Index1">
    <w:name w:val="index 1"/>
    <w:basedOn w:val="Normal"/>
    <w:next w:val="Normal"/>
    <w:autoRedefine/>
    <w:qFormat/>
    <w:pPr>
      <w:tabs>
        <w:tab w:val="right" w:leader="dot" w:pos="3598"/>
      </w:tabs>
      <w:spacing w:line="240" w:lineRule="auto"/>
      <w:ind w:left="198" w:hanging="198"/>
    </w:pPr>
  </w:style>
  <w:style w:type="paragraph" w:styleId="Index2">
    <w:name w:val="index 2"/>
    <w:basedOn w:val="Normal"/>
    <w:next w:val="Normal"/>
    <w:autoRedefine/>
    <w:qFormat/>
    <w:pPr>
      <w:spacing w:line="240" w:lineRule="auto"/>
      <w:ind w:left="396" w:hanging="198"/>
    </w:pPr>
  </w:style>
  <w:style w:type="paragraph" w:styleId="Index3">
    <w:name w:val="index 3"/>
    <w:basedOn w:val="Normal"/>
    <w:next w:val="Normal"/>
    <w:autoRedefine/>
    <w:qFormat/>
    <w:pPr>
      <w:spacing w:line="240" w:lineRule="auto"/>
      <w:ind w:left="601" w:hanging="198"/>
    </w:pPr>
  </w:style>
  <w:style w:type="paragraph" w:styleId="Index4">
    <w:name w:val="index 4"/>
    <w:basedOn w:val="Normal"/>
    <w:next w:val="Normal"/>
    <w:autoRedefine/>
    <w:qFormat/>
    <w:pPr>
      <w:spacing w:line="240" w:lineRule="auto"/>
      <w:ind w:left="799" w:hanging="198"/>
    </w:pPr>
  </w:style>
  <w:style w:type="paragraph" w:styleId="Index5">
    <w:name w:val="index 5"/>
    <w:basedOn w:val="Normal"/>
    <w:next w:val="Normal"/>
    <w:autoRedefine/>
    <w:qFormat/>
    <w:pPr>
      <w:spacing w:line="240" w:lineRule="auto"/>
      <w:ind w:left="997" w:hanging="198"/>
    </w:pPr>
  </w:style>
  <w:style w:type="paragraph" w:styleId="Index6">
    <w:name w:val="index 6"/>
    <w:basedOn w:val="Normal"/>
    <w:next w:val="Normal"/>
    <w:autoRedefine/>
    <w:qFormat/>
    <w:pPr>
      <w:spacing w:line="240" w:lineRule="auto"/>
      <w:ind w:left="1196" w:hanging="198"/>
    </w:pPr>
  </w:style>
  <w:style w:type="paragraph" w:styleId="Index7">
    <w:name w:val="index 7"/>
    <w:basedOn w:val="Normal"/>
    <w:next w:val="Normal"/>
    <w:autoRedefine/>
    <w:qFormat/>
    <w:pPr>
      <w:spacing w:line="240" w:lineRule="auto"/>
      <w:ind w:left="1400" w:hanging="198"/>
    </w:pPr>
  </w:style>
  <w:style w:type="paragraph" w:styleId="Index8">
    <w:name w:val="index 8"/>
    <w:basedOn w:val="Normal"/>
    <w:next w:val="Normal"/>
    <w:autoRedefine/>
    <w:qFormat/>
    <w:pPr>
      <w:spacing w:line="240" w:lineRule="auto"/>
      <w:ind w:left="1598" w:hanging="198"/>
    </w:pPr>
  </w:style>
  <w:style w:type="paragraph" w:styleId="Index9">
    <w:name w:val="index 9"/>
    <w:basedOn w:val="Normal"/>
    <w:next w:val="Normal"/>
    <w:autoRedefine/>
    <w:qFormat/>
    <w:pPr>
      <w:spacing w:line="240" w:lineRule="auto"/>
      <w:ind w:left="1797" w:hanging="198"/>
    </w:pPr>
  </w:style>
  <w:style w:type="paragraph" w:styleId="IndexHeading">
    <w:name w:val="index heading"/>
    <w:basedOn w:val="Normal"/>
    <w:qFormat/>
    <w:rPr>
      <w:b/>
    </w:rPr>
  </w:style>
  <w:style w:type="paragraph" w:styleId="CommentText">
    <w:name w:val="annotation text"/>
    <w:basedOn w:val="Normal"/>
    <w:qFormat/>
  </w:style>
  <w:style w:type="paragraph" w:styleId="ListBullet3">
    <w:name w:val="List Bullet 3"/>
    <w:basedOn w:val="Normal"/>
    <w:qFormat/>
    <w:pPr>
      <w:tabs>
        <w:tab w:val="left" w:pos="1077"/>
      </w:tabs>
      <w:ind w:left="1077" w:hanging="357"/>
    </w:pPr>
  </w:style>
  <w:style w:type="paragraph" w:styleId="ListBullet4">
    <w:name w:val="List Bullet 4"/>
    <w:basedOn w:val="Normal"/>
    <w:qFormat/>
    <w:pPr>
      <w:tabs>
        <w:tab w:val="right" w:pos="1440"/>
      </w:tabs>
      <w:ind w:left="1434" w:hanging="357"/>
    </w:pPr>
  </w:style>
  <w:style w:type="paragraph" w:styleId="ListBullet5">
    <w:name w:val="List Bullet 5"/>
    <w:basedOn w:val="Normal"/>
    <w:qFormat/>
    <w:pPr>
      <w:tabs>
        <w:tab w:val="left" w:pos="1786"/>
      </w:tabs>
      <w:ind w:left="1797" w:hanging="357"/>
    </w:pPr>
  </w:style>
  <w:style w:type="paragraph" w:styleId="ListNumber">
    <w:name w:val="List Number"/>
    <w:basedOn w:val="Normal"/>
    <w:qFormat/>
    <w:pPr>
      <w:tabs>
        <w:tab w:val="left" w:pos="357"/>
      </w:tabs>
      <w:ind w:left="357" w:hanging="357"/>
    </w:pPr>
  </w:style>
  <w:style w:type="paragraph" w:styleId="ListContinue">
    <w:name w:val="List Continue"/>
    <w:basedOn w:val="Normal"/>
    <w:qFormat/>
    <w:pPr>
      <w:ind w:left="357"/>
    </w:pPr>
  </w:style>
  <w:style w:type="paragraph" w:styleId="ListContinue2">
    <w:name w:val="List Continue 2"/>
    <w:basedOn w:val="Normal"/>
    <w:qFormat/>
    <w:pPr>
      <w:ind w:left="720"/>
    </w:pPr>
  </w:style>
  <w:style w:type="paragraph" w:styleId="ListContinue3">
    <w:name w:val="List Continue 3"/>
    <w:basedOn w:val="Normal"/>
    <w:qFormat/>
    <w:pPr>
      <w:ind w:left="1077"/>
    </w:pPr>
  </w:style>
  <w:style w:type="paragraph" w:styleId="ListContinue4">
    <w:name w:val="List Continue 4"/>
    <w:basedOn w:val="Normal"/>
    <w:qFormat/>
    <w:pPr>
      <w:ind w:left="1440"/>
    </w:pPr>
  </w:style>
  <w:style w:type="paragraph" w:styleId="ListContinue5">
    <w:name w:val="List Continue 5"/>
    <w:basedOn w:val="Normal"/>
    <w:qFormat/>
    <w:pPr>
      <w:ind w:left="1797"/>
    </w:pPr>
  </w:style>
  <w:style w:type="paragraph" w:styleId="ListNumber2">
    <w:name w:val="List Number 2"/>
    <w:basedOn w:val="Normal"/>
    <w:qFormat/>
    <w:pPr>
      <w:tabs>
        <w:tab w:val="left" w:pos="357"/>
      </w:tabs>
      <w:ind w:left="714" w:hanging="357"/>
    </w:pPr>
  </w:style>
  <w:style w:type="paragraph" w:styleId="ListNumber3">
    <w:name w:val="List Number 3"/>
    <w:basedOn w:val="Normal"/>
    <w:qFormat/>
    <w:pPr>
      <w:tabs>
        <w:tab w:val="right" w:pos="1077"/>
      </w:tabs>
      <w:ind w:left="1077" w:hanging="357"/>
    </w:pPr>
  </w:style>
  <w:style w:type="paragraph" w:styleId="ListNumber4">
    <w:name w:val="List Number 4"/>
    <w:basedOn w:val="Normal"/>
    <w:qFormat/>
    <w:pPr>
      <w:tabs>
        <w:tab w:val="right" w:pos="1440"/>
      </w:tabs>
      <w:ind w:left="1434" w:hanging="357"/>
    </w:pPr>
  </w:style>
  <w:style w:type="paragraph" w:styleId="ListNumber5">
    <w:name w:val="List Number 5"/>
    <w:basedOn w:val="Normal"/>
    <w:qFormat/>
    <w:pPr>
      <w:tabs>
        <w:tab w:val="right" w:pos="1797"/>
      </w:tabs>
      <w:ind w:left="1797" w:hanging="357"/>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PlainText">
    <w:name w:val="Plain Text"/>
    <w:basedOn w:val="Normal"/>
    <w:qFormat/>
    <w:rPr>
      <w:rFonts w:ascii="Courier New" w:hAnsi="Courier New"/>
    </w:rPr>
  </w:style>
  <w:style w:type="paragraph" w:styleId="NormalIndent">
    <w:name w:val="Normal Indent"/>
    <w:basedOn w:val="Normal"/>
    <w:qFormat/>
    <w:pPr>
      <w:ind w:left="708"/>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rPr>
  </w:style>
  <w:style w:type="paragraph" w:styleId="BodyTextIndent">
    <w:name w:val="Body Text Indent"/>
    <w:basedOn w:val="BodyText"/>
    <w:pPr>
      <w:ind w:firstLine="210"/>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rPr>
  </w:style>
  <w:style w:type="paragraph" w:styleId="BodyTextFirstIndent2">
    <w:name w:val="Body Text First Indent 2"/>
    <w:basedOn w:val="BodyTextIndent"/>
    <w:qFormat/>
    <w:pPr>
      <w:ind w:left="283"/>
    </w:pPr>
  </w:style>
  <w:style w:type="paragraph" w:styleId="Title">
    <w:name w:val="Title"/>
    <w:basedOn w:val="Normal"/>
    <w:next w:val="Subtitle"/>
    <w:uiPriority w:val="10"/>
    <w:qFormat/>
    <w:pPr>
      <w:suppressAutoHyphens/>
      <w:spacing w:before="0" w:line="360" w:lineRule="auto"/>
      <w:jc w:val="center"/>
    </w:pPr>
    <w:rPr>
      <w:rFonts w:ascii="Arial" w:hAnsi="Arial"/>
      <w:b/>
      <w:kern w:val="2"/>
      <w:sz w:val="44"/>
    </w:rPr>
  </w:style>
  <w:style w:type="paragraph" w:styleId="Subtitle">
    <w:name w:val="Subtitle"/>
    <w:basedOn w:val="Normal"/>
    <w:uiPriority w:val="11"/>
    <w:qFormat/>
    <w:pPr>
      <w:suppressAutoHyphens/>
      <w:spacing w:before="240"/>
      <w:jc w:val="center"/>
    </w:pPr>
    <w:rPr>
      <w:rFonts w:ascii="Arial" w:hAnsi="Arial"/>
      <w:sz w:val="32"/>
    </w:rPr>
  </w:style>
  <w:style w:type="paragraph" w:styleId="EnvelopeAddress">
    <w:name w:val="envelope address"/>
    <w:basedOn w:val="Normal"/>
    <w:qFormat/>
    <w:pPr>
      <w:ind w:left="1"/>
    </w:pPr>
  </w:style>
  <w:style w:type="paragraph" w:styleId="Signature">
    <w:name w:val="Signature"/>
    <w:basedOn w:val="Normal"/>
    <w:pPr>
      <w:ind w:left="4252"/>
    </w:pPr>
  </w:style>
  <w:style w:type="paragraph" w:styleId="TOC4">
    <w:name w:val="toc 4"/>
    <w:basedOn w:val="TOC3"/>
    <w:next w:val="Normal"/>
    <w:autoRedefine/>
  </w:style>
  <w:style w:type="paragraph" w:styleId="TOC5">
    <w:name w:val="toc 5"/>
    <w:basedOn w:val="TOC4"/>
    <w:next w:val="Normal"/>
    <w:autoRedefine/>
  </w:style>
  <w:style w:type="paragraph" w:styleId="TOC6">
    <w:name w:val="toc 6"/>
    <w:basedOn w:val="TOC5"/>
    <w:next w:val="Normal"/>
    <w:autoRedefine/>
  </w:style>
  <w:style w:type="paragraph" w:styleId="TOC7">
    <w:name w:val="toc 7"/>
    <w:basedOn w:val="TOC6"/>
    <w:next w:val="Normal"/>
    <w:autoRedefine/>
  </w:style>
  <w:style w:type="paragraph" w:styleId="TOC8">
    <w:name w:val="toc 8"/>
    <w:basedOn w:val="TOC7"/>
    <w:next w:val="Normal"/>
    <w:autoRedefine/>
  </w:style>
  <w:style w:type="paragraph" w:styleId="TOC9">
    <w:name w:val="toc 9"/>
    <w:basedOn w:val="TOC8"/>
    <w:next w:val="Normal"/>
    <w:autoRedefine/>
    <w:pPr>
      <w:outlineLvl w:val="8"/>
    </w:pPr>
  </w:style>
  <w:style w:type="paragraph" w:styleId="TOAHeading">
    <w:name w:val="toa heading"/>
    <w:basedOn w:val="Normal"/>
    <w:next w:val="Normal"/>
    <w:qFormat/>
    <w:rPr>
      <w:b/>
    </w:rPr>
  </w:style>
  <w:style w:type="paragraph" w:styleId="TableofAuthorities">
    <w:name w:val="table of authorities"/>
    <w:basedOn w:val="Normal"/>
    <w:next w:val="Normal"/>
    <w:qFormat/>
    <w:pPr>
      <w:ind w:left="200" w:hanging="200"/>
    </w:pPr>
  </w:style>
  <w:style w:type="paragraph" w:customStyle="1" w:styleId="Tabellenberschrift">
    <w:name w:val="Tabellenüberschrift"/>
    <w:basedOn w:val="Caption"/>
    <w:qFormat/>
    <w:pPr>
      <w:keepNext/>
      <w:spacing w:before="480" w:after="0"/>
    </w:pPr>
  </w:style>
  <w:style w:type="paragraph" w:styleId="CommentSubject">
    <w:name w:val="annotation subject"/>
    <w:basedOn w:val="CommentText"/>
    <w:qFormat/>
    <w:pPr>
      <w:spacing w:line="240" w:lineRule="auto"/>
    </w:pPr>
    <w:rPr>
      <w:b/>
      <w:bCs/>
      <w:sz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A9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663</Words>
  <Characters>3783</Characters>
  <Application>Microsoft Office Word</Application>
  <DocSecurity>0</DocSecurity>
  <Lines>31</Lines>
  <Paragraphs>8</Paragraphs>
  <ScaleCrop>false</ScaleCrop>
  <Company>Hochschule der Medien Stuttgart - Stuttgart Media University</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Anna Kuhn</cp:lastModifiedBy>
  <cp:revision>103</cp:revision>
  <cp:lastPrinted>2011-10-23T20:42:00Z</cp:lastPrinted>
  <dcterms:created xsi:type="dcterms:W3CDTF">2020-11-03T16:52:00Z</dcterms:created>
  <dcterms:modified xsi:type="dcterms:W3CDTF">2020-11-16T15:16:00Z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