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Aptos" w:hAnsi="Aptos"/>
          <w:b/>
          <w:color w:val="000000"/>
          <w:sz w:val="48"/>
        </w:rPr>
        <w:t>APE Cohort Based Cycles Plan</w:t>
      </w:r>
    </w:p>
    <w:p>
      <w:pPr>
        <w:spacing w:after="320"/>
      </w:pPr>
      <w:r>
        <w:rPr>
          <w:rFonts w:ascii="Aptos" w:hAnsi="Aptos"/>
          <w:b w:val="0"/>
          <w:color w:val="4B5563"/>
          <w:sz w:val="22"/>
        </w:rPr>
        <w:t>A controlled approach to initial APE intake and selected Official student retakes</w:t>
      </w:r>
    </w:p>
    <w:p>
      <w:pPr>
        <w:spacing w:after="240"/>
      </w:pPr>
      <w:r>
        <w:rPr>
          <w:rFonts w:ascii="Aptos" w:hAnsi="Aptos"/>
          <w:b/>
          <w:color w:val="17324D"/>
          <w:sz w:val="21"/>
        </w:rPr>
        <w:t xml:space="preserve">Purpose. </w:t>
      </w:r>
      <w:r>
        <w:rPr>
          <w:rFonts w:ascii="Aptos" w:hAnsi="Aptos"/>
          <w:b w:val="0"/>
          <w:color w:val="000000"/>
          <w:sz w:val="21"/>
        </w:rPr>
        <w:t>Replace the current all-student APE reset with an explicit cohort model. New Applicant accounts enter the initial APE route, while Official students are included only when the clinic selects a required College and Year-level cohort.</w:t>
      </w:r>
    </w:p>
    <w:p>
      <w:pPr>
        <w:pStyle w:val="Heading1"/>
        <w:spacing w:before="280" w:after="100"/>
      </w:pPr>
      <w:r>
        <w:rPr>
          <w:rFonts w:ascii="Aptos" w:hAnsi="Aptos"/>
          <w:b/>
          <w:color w:val="000000"/>
          <w:sz w:val="28"/>
        </w:rPr>
        <w:t>Decision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7128"/>
      </w:tblGrid>
      <w:tr>
        <w:trPr>
          <w:tblHeader w:val="true"/>
        </w:trPr>
        <w:tc>
          <w:tcPr>
            <w:tcW w:type="dxa" w:w="4968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Area</w:t>
            </w:r>
          </w:p>
        </w:tc>
        <w:tc>
          <w:tcPr>
            <w:tcW w:type="dxa" w:w="4968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Approved direction</w:t>
            </w:r>
          </w:p>
        </w:tc>
      </w:tr>
      <w:tr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Applicant intake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r>
              <w:rPr>
                <w:rFonts w:ascii="Aptos" w:hAnsi="Aptos"/>
                <w:b w:val="0"/>
                <w:color w:val="000000"/>
                <w:sz w:val="19"/>
              </w:rPr>
              <w:t>All active Applicant student accounts receive an initial APE record in a new cycle. Documents can be submitted immediately.</w:t>
            </w:r>
          </w:p>
        </w:tc>
      </w:tr>
      <w:tr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Official retakes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9"/>
              </w:rPr>
              <w:t>The clinic explicitly selects Official cohorts by College and Year level. Official students are never included automatically.</w:t>
            </w:r>
          </w:p>
        </w:tc>
      </w:tr>
      <w:tr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Access status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r>
              <w:rPr>
                <w:rFonts w:ascii="Aptos" w:hAnsi="Aptos"/>
                <w:b w:val="0"/>
                <w:color w:val="000000"/>
                <w:sz w:val="19"/>
              </w:rPr>
              <w:t>Applicant clearance continues to unlock Official access. Official retakers remain Official throughout the retake process.</w:t>
            </w:r>
          </w:p>
        </w:tc>
      </w:tr>
      <w:tr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Examinations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9"/>
              </w:rPr>
              <w:t>The clinic schedules examinations by section. Sections larger than 60 are split across multiple days; no day may exceed 60 students.</w:t>
            </w:r>
          </w:p>
        </w:tc>
      </w:tr>
      <w:tr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Existing cycle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r>
              <w:rPr>
                <w:rFonts w:ascii="Aptos" w:hAnsi="Aptos"/>
                <w:b w:val="0"/>
                <w:color w:val="000000"/>
                <w:sz w:val="19"/>
              </w:rPr>
              <w:t>Leave the current active cycle unchanged. Apply the cohort model only to future cycles.</w:t>
            </w:r>
          </w:p>
        </w:tc>
      </w:tr>
    </w:tbl>
    <w:p>
      <w:pPr>
        <w:pStyle w:val="Heading1"/>
        <w:spacing w:before="280" w:after="100"/>
      </w:pPr>
      <w:r>
        <w:rPr>
          <w:rFonts w:ascii="Aptos" w:hAnsi="Aptos"/>
          <w:b/>
          <w:color w:val="000000"/>
          <w:sz w:val="28"/>
        </w:rPr>
        <w:t>Implementation Plan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3"/>
        </w:rPr>
        <w:t>1. Cohort and record model</w:t>
      </w:r>
    </w:p>
    <w:p>
      <w:pPr>
        <w:pStyle w:val="ListBullet"/>
        <w:spacing w:after="80"/>
      </w:pPr>
      <w:r>
        <w:rPr>
          <w:rFonts w:ascii="Aptos" w:hAnsi="Aptos"/>
          <w:b w:val="0"/>
          <w:color w:val="000000"/>
          <w:sz w:val="21"/>
        </w:rPr>
        <w:t>Add cohort records under each APE cycle: one Applicant intake cohort and one or more clinic-selected Official retake cohorts.</w:t>
      </w:r>
    </w:p>
    <w:p>
      <w:pPr>
        <w:pStyle w:val="ListBullet"/>
        <w:spacing w:after="80"/>
      </w:pPr>
      <w:r>
        <w:rPr>
          <w:rFonts w:ascii="Aptos" w:hAnsi="Aptos"/>
          <w:b w:val="0"/>
          <w:color w:val="000000"/>
          <w:sz w:val="21"/>
        </w:rPr>
        <w:t>Store an immutable membership snapshot for every APE record, including its track, College, Year level, and selection time, so historical reporting remains accurate after a student changes program or year.</w:t>
      </w:r>
    </w:p>
    <w:p>
      <w:pPr>
        <w:pStyle w:val="ListBullet"/>
        <w:spacing w:after="80"/>
      </w:pPr>
      <w:r>
        <w:rPr>
          <w:rFonts w:ascii="Aptos" w:hAnsi="Aptos"/>
          <w:b w:val="0"/>
          <w:color w:val="000000"/>
          <w:sz w:val="21"/>
        </w:rPr>
        <w:t>Use the existing Departments to Programs hierarchy as the College source and the school-year enrollment snapshot as the Official cohort source.</w:t>
      </w:r>
    </w:p>
    <w:p>
      <w:pPr>
        <w:pStyle w:val="ListBullet"/>
        <w:spacing w:after="80"/>
      </w:pPr>
      <w:r>
        <w:rPr>
          <w:rFonts w:ascii="Aptos" w:hAnsi="Aptos"/>
          <w:b w:val="0"/>
          <w:color w:val="000000"/>
          <w:sz w:val="21"/>
        </w:rPr>
        <w:t>Prevent duplicate APE records for the same student in the same cycle, while retaining the cohort that created the record.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3"/>
        </w:rPr>
        <w:t>2. New cycle start workflow</w:t>
      </w:r>
    </w:p>
    <w:p>
      <w:pPr>
        <w:pStyle w:val="ListBullet"/>
        <w:spacing w:after="80"/>
      </w:pPr>
      <w:r>
        <w:rPr>
          <w:rFonts w:ascii="Aptos" w:hAnsi="Aptos"/>
          <w:b w:val="0"/>
          <w:color w:val="000000"/>
          <w:sz w:val="21"/>
        </w:rPr>
        <w:t>Step 1: staff set the academic year and compliance dates.</w:t>
      </w:r>
    </w:p>
    <w:p>
      <w:pPr>
        <w:pStyle w:val="ListBullet"/>
        <w:spacing w:after="80"/>
      </w:pPr>
      <w:r>
        <w:rPr>
          <w:rFonts w:ascii="Aptos" w:hAnsi="Aptos"/>
          <w:b w:val="0"/>
          <w:color w:val="000000"/>
          <w:sz w:val="21"/>
        </w:rPr>
        <w:t>Step 2: show the automatic Applicant intake count and explain that those accounts can begin document submission immediately.</w:t>
      </w:r>
    </w:p>
    <w:p>
      <w:pPr>
        <w:pStyle w:val="ListBullet"/>
        <w:spacing w:after="80"/>
      </w:pPr>
      <w:r>
        <w:rPr>
          <w:rFonts w:ascii="Aptos" w:hAnsi="Aptos"/>
          <w:b w:val="0"/>
          <w:color w:val="000000"/>
          <w:sz w:val="21"/>
        </w:rPr>
        <w:t>Step 3: staff optionally select one or more College and Year-level combinations for Official retakes.</w:t>
      </w:r>
    </w:p>
    <w:p>
      <w:pPr>
        <w:pStyle w:val="ListBullet"/>
        <w:spacing w:after="80"/>
      </w:pPr>
      <w:r>
        <w:rPr>
          <w:rFonts w:ascii="Aptos" w:hAnsi="Aptos"/>
          <w:b w:val="0"/>
          <w:color w:val="000000"/>
          <w:sz w:val="21"/>
        </w:rPr>
        <w:t>Step 4: show an exact, searchable roster preview with separate counts for Applicants and each Official retake cohort.</w:t>
      </w:r>
    </w:p>
    <w:p>
      <w:pPr>
        <w:pStyle w:val="ListBullet"/>
        <w:spacing w:after="80"/>
      </w:pPr>
      <w:r>
        <w:rPr>
          <w:rFonts w:ascii="Aptos" w:hAnsi="Aptos"/>
          <w:b w:val="0"/>
          <w:color w:val="000000"/>
          <w:sz w:val="21"/>
        </w:rPr>
        <w:t>Step 5: require a final confirmation that states the total number of APE records to be created before the cycle is opened.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3"/>
        </w:rPr>
        <w:t>3. Patient and clinic workflow</w:t>
      </w:r>
    </w:p>
    <w:p>
      <w:pPr>
        <w:pStyle w:val="ListBullet"/>
        <w:spacing w:after="80"/>
      </w:pPr>
      <w:r>
        <w:rPr>
          <w:rFonts w:ascii="Aptos" w:hAnsi="Aptos"/>
          <w:b w:val="0"/>
          <w:color w:val="000000"/>
          <w:sz w:val="21"/>
        </w:rPr>
        <w:t>Applicants follow the existing initial APE flow. Final clearance promotes them from Applicant to Official access.</w:t>
      </w:r>
    </w:p>
    <w:p>
      <w:pPr>
        <w:pStyle w:val="ListBullet"/>
        <w:spacing w:after="80"/>
      </w:pPr>
      <w:r>
        <w:rPr>
          <w:rFonts w:ascii="Aptos" w:hAnsi="Aptos"/>
          <w:b w:val="0"/>
          <w:color w:val="000000"/>
          <w:sz w:val="21"/>
        </w:rPr>
        <w:t>Official retakers receive APE requirements and clinic workflow tasks without losing appointment or Health Passport access.</w:t>
      </w:r>
    </w:p>
    <w:p>
      <w:pPr>
        <w:pStyle w:val="ListBullet"/>
        <w:spacing w:after="80"/>
      </w:pPr>
      <w:r>
        <w:rPr>
          <w:rFonts w:ascii="Aptos" w:hAnsi="Aptos"/>
          <w:b w:val="0"/>
          <w:color w:val="000000"/>
          <w:sz w:val="21"/>
        </w:rPr>
        <w:t>Show the originating cohort and track in staff queues, record details, progress totals, exports, and activity history.</w:t>
      </w:r>
    </w:p>
    <w:p>
      <w:pPr>
        <w:pStyle w:val="ListBullet"/>
        <w:spacing w:after="80"/>
      </w:pPr>
      <w:r>
        <w:rPr>
          <w:rFonts w:ascii="Aptos" w:hAnsi="Aptos"/>
          <w:b w:val="0"/>
          <w:color w:val="000000"/>
          <w:sz w:val="21"/>
        </w:rPr>
        <w:t>Keep examination scheduling clinic-controlled and section-based. Staff may split a section across days, but the scheduler must reject assignments that push a day above 60 students.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3"/>
        </w:rPr>
        <w:t>4. Data safety and auditability</w:t>
      </w:r>
    </w:p>
    <w:p>
      <w:pPr>
        <w:pStyle w:val="ListBullet"/>
        <w:spacing w:after="80"/>
      </w:pPr>
      <w:r>
        <w:rPr>
          <w:rFonts w:ascii="Aptos" w:hAnsi="Aptos"/>
          <w:b w:val="0"/>
          <w:color w:val="000000"/>
          <w:sz w:val="21"/>
        </w:rPr>
        <w:t>Create and verify a database backup before the migration. Apply schema changes only through the project migration runner, then verify migration state and database integrity.</w:t>
      </w:r>
    </w:p>
    <w:p>
      <w:pPr>
        <w:pStyle w:val="ListBullet"/>
        <w:spacing w:after="80"/>
      </w:pPr>
      <w:r>
        <w:rPr>
          <w:rFonts w:ascii="Aptos" w:hAnsi="Aptos"/>
          <w:b w:val="0"/>
          <w:color w:val="000000"/>
          <w:sz w:val="21"/>
        </w:rPr>
        <w:t>Do not alter the current active cycle or delete its records. Existing cycles retain their current history and reporting.</w:t>
      </w:r>
    </w:p>
    <w:p>
      <w:pPr>
        <w:pStyle w:val="ListBullet"/>
        <w:spacing w:after="80"/>
      </w:pPr>
      <w:r>
        <w:rPr>
          <w:rFonts w:ascii="Aptos" w:hAnsi="Aptos"/>
          <w:b w:val="0"/>
          <w:color w:val="000000"/>
          <w:sz w:val="21"/>
        </w:rPr>
        <w:t>Audit the cycle setup, College and Year-level selections, generated roster, batch assignment, section splits, and reassignment actions with the responsible clinic user.</w:t>
      </w:r>
    </w:p>
    <w:p>
      <w:pPr>
        <w:pStyle w:val="Heading1"/>
        <w:spacing w:before="280" w:after="100"/>
      </w:pPr>
      <w:r>
        <w:rPr>
          <w:rFonts w:ascii="Aptos" w:hAnsi="Aptos"/>
          <w:b/>
          <w:color w:val="000000"/>
          <w:sz w:val="28"/>
        </w:rPr>
        <w:t>Acceptance Tests</w:t>
      </w:r>
    </w:p>
    <w:p>
      <w:pPr>
        <w:pStyle w:val="ListBullet"/>
        <w:spacing w:after="80"/>
      </w:pPr>
      <w:r>
        <w:rPr>
          <w:rFonts w:ascii="Aptos" w:hAnsi="Aptos"/>
          <w:b w:val="0"/>
          <w:color w:val="000000"/>
          <w:sz w:val="21"/>
        </w:rPr>
        <w:t>A new cycle creates an APE record for every active Applicant account and no unselected Official account.</w:t>
      </w:r>
    </w:p>
    <w:p>
      <w:pPr>
        <w:pStyle w:val="ListBullet"/>
        <w:spacing w:after="80"/>
      </w:pPr>
      <w:r>
        <w:rPr>
          <w:rFonts w:ascii="Aptos" w:hAnsi="Aptos"/>
          <w:b w:val="0"/>
          <w:color w:val="000000"/>
          <w:sz w:val="21"/>
        </w:rPr>
        <w:t>A selected College and Year-level pair includes only active Official students with matching school-year enrollment data.</w:t>
      </w:r>
    </w:p>
    <w:p>
      <w:pPr>
        <w:pStyle w:val="ListBullet"/>
        <w:spacing w:after="80"/>
      </w:pPr>
      <w:r>
        <w:rPr>
          <w:rFonts w:ascii="Aptos" w:hAnsi="Aptos"/>
          <w:b w:val="0"/>
          <w:color w:val="000000"/>
          <w:sz w:val="21"/>
        </w:rPr>
        <w:t>Official students outside the selected College and Year-level pairs receive no retake record.</w:t>
      </w:r>
    </w:p>
    <w:p>
      <w:pPr>
        <w:pStyle w:val="ListBullet"/>
        <w:spacing w:after="80"/>
      </w:pPr>
      <w:r>
        <w:rPr>
          <w:rFonts w:ascii="Aptos" w:hAnsi="Aptos"/>
          <w:b w:val="0"/>
          <w:color w:val="000000"/>
          <w:sz w:val="21"/>
        </w:rPr>
        <w:t>Final Applicant clearance promotes access to Official; completing a retake does not change an Official account status.</w:t>
      </w:r>
    </w:p>
    <w:p>
      <w:pPr>
        <w:pStyle w:val="ListBullet"/>
        <w:spacing w:after="80"/>
      </w:pPr>
      <w:r>
        <w:rPr>
          <w:rFonts w:ascii="Aptos" w:hAnsi="Aptos"/>
          <w:b w:val="0"/>
          <w:color w:val="000000"/>
          <w:sz w:val="21"/>
        </w:rPr>
        <w:t>Roster-preview counts exactly match the created APE records, and duplicate records are rejected.</w:t>
      </w:r>
    </w:p>
    <w:p>
      <w:pPr>
        <w:pStyle w:val="ListBullet"/>
        <w:spacing w:after="80"/>
      </w:pPr>
      <w:r>
        <w:rPr>
          <w:rFonts w:ascii="Aptos" w:hAnsi="Aptos"/>
          <w:b w:val="0"/>
          <w:color w:val="000000"/>
          <w:sz w:val="21"/>
        </w:rPr>
        <w:t>A section larger than 60 can be split across examination days; any batch exceeding 60 is rejected.</w:t>
      </w:r>
    </w:p>
    <w:p>
      <w:pPr>
        <w:pStyle w:val="ListBullet"/>
        <w:spacing w:after="80"/>
      </w:pPr>
      <w:r>
        <w:rPr>
          <w:rFonts w:ascii="Aptos" w:hAnsi="Aptos"/>
          <w:b w:val="0"/>
          <w:color w:val="000000"/>
          <w:sz w:val="21"/>
        </w:rPr>
        <w:t>Queues, reports, progress counts, and exported records retain correct cycle and cohort scope.</w:t>
      </w:r>
    </w:p>
    <w:p>
      <w:pPr>
        <w:pStyle w:val="ListBullet"/>
        <w:spacing w:after="80"/>
      </w:pPr>
      <w:r>
        <w:rPr>
          <w:rFonts w:ascii="Aptos" w:hAnsi="Aptos"/>
          <w:b w:val="0"/>
          <w:color w:val="000000"/>
          <w:sz w:val="21"/>
        </w:rPr>
        <w:t>Migration, data integrity, staff APE routes, and the patient APE-status flow are verified after deployment.</w:t>
      </w:r>
    </w:p>
    <w:p>
      <w:pPr>
        <w:pStyle w:val="Heading1"/>
        <w:spacing w:before="280" w:after="100"/>
      </w:pPr>
      <w:r>
        <w:rPr>
          <w:rFonts w:ascii="Aptos" w:hAnsi="Aptos"/>
          <w:b/>
          <w:color w:val="000000"/>
          <w:sz w:val="28"/>
        </w:rPr>
        <w:t>Implementation Boundaries</w:t>
      </w:r>
    </w:p>
    <w:p>
      <w:pPr>
        <w:spacing w:after="0"/>
      </w:pPr>
      <w:r>
        <w:rPr>
          <w:rFonts w:ascii="Aptos" w:hAnsi="Aptos"/>
          <w:b/>
          <w:color w:val="2F6B4F"/>
          <w:sz w:val="21"/>
        </w:rPr>
        <w:t xml:space="preserve">Included. </w:t>
      </w:r>
      <w:r>
        <w:rPr>
          <w:rFonts w:ascii="Aptos" w:hAnsi="Aptos"/>
          <w:b w:val="0"/>
          <w:color w:val="000000"/>
          <w:sz w:val="21"/>
        </w:rPr>
        <w:t xml:space="preserve">Future APE cycles, initial Applicant intake, selected Official retakes, cohort-aware reporting, and section-based examination capacity controls. </w:t>
      </w:r>
      <w:r>
        <w:rPr>
          <w:rFonts w:ascii="Aptos" w:hAnsi="Aptos"/>
          <w:b/>
          <w:color w:val="2F6B4F"/>
          <w:sz w:val="21"/>
        </w:rPr>
        <w:t xml:space="preserve">Not changed. </w:t>
      </w:r>
      <w:r>
        <w:rPr>
          <w:rFonts w:ascii="Aptos" w:hAnsi="Aptos"/>
          <w:b w:val="0"/>
          <w:color w:val="000000"/>
          <w:sz w:val="21"/>
        </w:rPr>
        <w:t xml:space="preserve">The current active APE cycle, historical cycles, and the existing Applicant-to-Official clearance lifecycle. 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color w:val="6B7280"/>
        <w:sz w:val="16"/>
      </w:rPr>
      <w:t>CLINiQ APE Cohort Based Cycles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