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2. Low Healthcare Access Regions (U.S., 2024)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Country of interest</w:t>
            </w:r>
          </w:p>
        </w:tc>
        <w:tc>
          <w:tcPr>
            <w:tcW w:type="dxa" w:w="4320"/>
          </w:tcPr>
          <w:p>
            <w:r>
              <w:t>United States</w:t>
            </w:r>
          </w:p>
        </w:tc>
      </w:tr>
      <w:tr>
        <w:tc>
          <w:tcPr>
            <w:tcW w:type="dxa" w:w="4320"/>
          </w:tcPr>
          <w:p>
            <w:r>
              <w:t>Year of analysis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t>Number of observations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Number of regions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Healthcare Access Index (0–100)</w:t>
            </w:r>
          </w:p>
        </w:tc>
        <w:tc>
          <w:tcPr>
            <w:tcW w:type="dxa" w:w="4320"/>
          </w:tcPr>
          <w:p>
            <w:r>
              <w:t>21.07 (21.04)</w:t>
            </w:r>
          </w:p>
        </w:tc>
      </w:tr>
      <w:tr>
        <w:tc>
          <w:tcPr>
            <w:tcW w:type="dxa" w:w="4320"/>
          </w:tcPr>
          <w:p>
            <w:r>
              <w:t>Cholera incidence (per 100,000)</w:t>
            </w:r>
          </w:p>
        </w:tc>
        <w:tc>
          <w:tcPr>
            <w:tcW w:type="dxa" w:w="4320"/>
          </w:tcPr>
          <w:p>
            <w:r>
              <w:t>22.25 (7.89)</w:t>
            </w:r>
          </w:p>
        </w:tc>
      </w:tr>
      <w:tr>
        <w:tc>
          <w:tcPr>
            <w:tcW w:type="dxa" w:w="4320"/>
          </w:tcPr>
          <w:p>
            <w:r>
              <w:t>Diarrheal incidence (per 100,000)</w:t>
            </w:r>
          </w:p>
        </w:tc>
        <w:tc>
          <w:tcPr>
            <w:tcW w:type="dxa" w:w="4320"/>
          </w:tcPr>
          <w:p>
            <w:r>
              <w:t>221.00 (180.67)</w:t>
            </w:r>
          </w:p>
        </w:tc>
      </w:tr>
      <w:tr>
        <w:tc>
          <w:tcPr>
            <w:tcW w:type="dxa" w:w="4320"/>
          </w:tcPr>
          <w:p>
            <w:r>
              <w:t>Access to clean water (%)</w:t>
            </w:r>
          </w:p>
        </w:tc>
        <w:tc>
          <w:tcPr>
            <w:tcW w:type="dxa" w:w="4320"/>
          </w:tcPr>
          <w:p>
            <w:r>
              <w:t>67.63 (23.78)</w:t>
            </w:r>
          </w:p>
        </w:tc>
      </w:tr>
      <w:tr>
        <w:tc>
          <w:tcPr>
            <w:tcW w:type="dxa" w:w="4320"/>
          </w:tcPr>
          <w:p>
            <w:r>
              <w:t>Sanitation coverage (%)</w:t>
            </w:r>
          </w:p>
        </w:tc>
        <w:tc>
          <w:tcPr>
            <w:tcW w:type="dxa" w:w="4320"/>
          </w:tcPr>
          <w:p>
            <w:r>
              <w:t>57.08 (17.24)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