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2. Chi-Square Analyses to Examine Race Differences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Category</w:t>
            </w:r>
          </w:p>
        </w:tc>
        <w:tc>
          <w:tcPr>
            <w:tcW w:type="dxa" w:w="960"/>
          </w:tcPr>
          <w:p>
            <w:r>
              <w:t>Total n</w:t>
            </w:r>
          </w:p>
        </w:tc>
        <w:tc>
          <w:tcPr>
            <w:tcW w:type="dxa" w:w="960"/>
          </w:tcPr>
          <w:p>
            <w:r>
              <w:t>Total %</w:t>
            </w:r>
          </w:p>
        </w:tc>
        <w:tc>
          <w:tcPr>
            <w:tcW w:type="dxa" w:w="960"/>
          </w:tcPr>
          <w:p>
            <w:r>
              <w:t>POC n</w:t>
            </w:r>
          </w:p>
        </w:tc>
        <w:tc>
          <w:tcPr>
            <w:tcW w:type="dxa" w:w="960"/>
          </w:tcPr>
          <w:p>
            <w:r>
              <w:t>POC %</w:t>
            </w:r>
          </w:p>
        </w:tc>
        <w:tc>
          <w:tcPr>
            <w:tcW w:type="dxa" w:w="960"/>
          </w:tcPr>
          <w:p>
            <w:r>
              <w:t>White n</w:t>
            </w:r>
          </w:p>
        </w:tc>
        <w:tc>
          <w:tcPr>
            <w:tcW w:type="dxa" w:w="960"/>
          </w:tcPr>
          <w:p>
            <w:r>
              <w:t>White %</w:t>
            </w:r>
          </w:p>
        </w:tc>
        <w:tc>
          <w:tcPr>
            <w:tcW w:type="dxa" w:w="960"/>
          </w:tcPr>
          <w:p>
            <w:r>
              <w:t>χ²</w:t>
            </w:r>
          </w:p>
        </w:tc>
        <w:tc>
          <w:tcPr>
            <w:tcW w:type="dxa" w:w="960"/>
          </w:tcPr>
          <w:p>
            <w:r>
              <w:t>p-value</w:t>
            </w:r>
          </w:p>
        </w:tc>
      </w:tr>
      <w:tr>
        <w:tc>
          <w:tcPr>
            <w:tcW w:type="dxa" w:w="960"/>
          </w:tcPr>
          <w:p>
            <w:r>
              <w:t>Tumor Location Risk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8.68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</w:tr>
      <w:tr>
        <w:tc>
          <w:tcPr>
            <w:tcW w:type="dxa" w:w="960"/>
          </w:tcPr>
          <w:p>
            <w:r>
              <w:t>High Risk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44.1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72.2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34.0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Low Risk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30.9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22.2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34.0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Medium Risk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5.6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32.0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Cancer Type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7.96</w:t>
            </w:r>
          </w:p>
        </w:tc>
        <w:tc>
          <w:tcPr>
            <w:tcW w:type="dxa" w:w="960"/>
          </w:tcPr>
          <w:p>
            <w:r>
              <w:t>0.0187</w:t>
            </w:r>
          </w:p>
        </w:tc>
      </w:tr>
      <w:tr>
        <w:tc>
          <w:tcPr>
            <w:tcW w:type="dxa" w:w="960"/>
          </w:tcPr>
          <w:p>
            <w:r>
              <w:t>Basal cell carcinoma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54.4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44.4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58.0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Melanoma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7.4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22.2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Squamous cell carcinoma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38.2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33.3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40.0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