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40" w:before="0"/>
        <w:jc w:val="center"/>
      </w:pPr>
      <w:r>
        <w:rPr>
          <w:rFonts w:ascii="Arial" w:cs="Arial" w:eastAsia="Arial" w:hAnsi="Arial"/>
          <w:color w:val="555555"/>
          <w:sz w:val="22"/>
          <w:szCs w:val="22"/>
        </w:rPr>
        <w:t xml:space="preserve">Enhancing Digital Government &amp; Economy (EDGE) Project</w:t>
      </w:r>
    </w:p>
    <w:p>
      <w:pPr>
        <w:spacing w:after="40" w:before="0"/>
        <w:jc w:val="center"/>
      </w:pPr>
      <w:r>
        <w:rPr>
          <w:rFonts w:ascii="Arial" w:cs="Arial" w:eastAsia="Arial" w:hAnsi="Arial"/>
          <w:b/>
          <w:bCs/>
          <w:color w:val="555555"/>
          <w:sz w:val="22"/>
          <w:szCs w:val="22"/>
        </w:rPr>
        <w:t xml:space="preserve">Institute of Information &amp; Communication Technology</w:t>
      </w:r>
    </w:p>
    <w:p>
      <w:pPr>
        <w:spacing w:after="60" w:before="0"/>
        <w:jc w:val="center"/>
      </w:pPr>
      <w:r>
        <w:rPr>
          <w:rFonts w:ascii="Arial" w:cs="Arial" w:eastAsia="Arial" w:hAnsi="Arial"/>
          <w:b/>
          <w:bCs/>
          <w:color w:val="555555"/>
          <w:sz w:val="22"/>
          <w:szCs w:val="22"/>
        </w:rPr>
        <w:t xml:space="preserve">Dhaka University of Engineering &amp; Technology, Gazipur</w:t>
      </w:r>
    </w:p>
    <w:p>
      <w:pPr>
        <w:spacing w:after="60" w:before="0"/>
        <w:jc w:val="center"/>
      </w:pPr>
      <w:r>
        <w:rPr>
          <w:rFonts w:ascii="Arial" w:cs="Arial" w:eastAsia="Arial" w:hAnsi="Arial"/>
          <w:b/>
          <w:bCs/>
          <w:color w:val="2E75B6"/>
          <w:sz w:val="22"/>
          <w:szCs w:val="22"/>
        </w:rPr>
        <w:t xml:space="preserve">Digital Skills for Students Program</w:t>
      </w:r>
    </w:p>
    <w:p>
      <w:pPr>
        <w:pBdr>
          <w:top w:val="single" w:color="2E75B6" w:sz="12" w:space="4"/>
          <w:bottom w:val="single" w:color="2E75B6" w:sz="12" w:space="4"/>
        </w:pBdr>
        <w:spacing w:after="120" w:before="120"/>
        <w:jc w:val="center"/>
      </w:pPr>
      <w:r>
        <w:rPr>
          <w:rFonts w:ascii="Arial" w:cs="Arial" w:eastAsia="Arial" w:hAnsi="Arial"/>
          <w:b/>
          <w:bCs/>
          <w:color w:val="1F4E79"/>
          <w:sz w:val="26"/>
          <w:szCs w:val="26"/>
        </w:rPr>
        <w:t xml:space="preserve">Applied Machine Learning — Final Project</w:t>
      </w:r>
    </w:p>
    <w:p>
      <w:pPr>
        <w:spacing w:after="60" w:before="60"/>
      </w:pPr>
      <w:r>
        <w:t xml:space="preserve"/>
      </w:r>
    </w:p>
    <w:p>
      <w:pPr>
        <w:spacing w:after="40" w:before="0"/>
        <w:jc w:val="center"/>
      </w:pPr>
      <w:r>
        <w:rPr>
          <w:rFonts w:ascii="Arial" w:cs="Arial" w:eastAsia="Arial" w:hAnsi="Arial"/>
          <w:b/>
          <w:bCs/>
          <w:color w:val="E74C3C"/>
          <w:sz w:val="24"/>
          <w:szCs w:val="24"/>
        </w:rPr>
        <w:t xml:space="preserve">Project 03</w:t>
      </w:r>
    </w:p>
    <w:p>
      <w:pPr>
        <w:spacing w:after="80" w:before="0"/>
        <w:jc w:val="center"/>
      </w:pPr>
      <w:r>
        <w:rPr>
          <w:rFonts w:ascii="Arial" w:cs="Arial" w:eastAsia="Arial" w:hAnsi="Arial"/>
          <w:b/>
          <w:bCs/>
          <w:color w:val="1F4E79"/>
          <w:sz w:val="40"/>
          <w:szCs w:val="40"/>
        </w:rPr>
        <w:t xml:space="preserve">Medical Insurance Premium Estimator</w:t>
      </w:r>
    </w:p>
    <w:p>
      <w:pPr>
        <w:spacing w:after="40" w:before="0"/>
        <w:jc w:val="center"/>
      </w:pPr>
      <w:r>
        <w:rPr>
          <w:rFonts w:ascii="Arial" w:cs="Arial" w:eastAsia="Arial" w:hAnsi="Arial"/>
          <w:color w:val="555555"/>
          <w:sz w:val="24"/>
          <w:szCs w:val="24"/>
        </w:rPr>
        <w:t xml:space="preserve">Tabular Regression with Streamlit Deployment</w:t>
      </w:r>
    </w:p>
    <w:p>
      <w:pPr>
        <w:spacing w:after="60" w:before="60"/>
      </w:pPr>
      <w:r>
        <w:t xml:space="preserve"/>
      </w:r>
    </w:p>
    <w:p>
      <w:pPr>
        <w:spacing w:after="60" w:before="6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Domain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Healthcare / FinTech</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Task Type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Supervised Regression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Dataset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Health Insurance (Kaggle)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Best Model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Forest Regressor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Deployment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Cloud</w:t>
            </w:r>
          </w:p>
        </w:tc>
      </w:tr>
    </w:tbl>
    <w:p>
      <w:pPr>
        <w:spacing w:after="60" w:before="60"/>
      </w:pPr>
      <w:r>
        <w:t xml:space="preserve"/>
      </w:r>
    </w:p>
    <w:p>
      <w:pPr>
        <w:spacing w:after="0" w:before="80"/>
        <w:jc w:val="center"/>
      </w:pPr>
      <w:r>
        <w:rPr>
          <w:rFonts w:ascii="Arial" w:cs="Arial" w:eastAsia="Arial" w:hAnsi="Arial"/>
          <w:i/>
          <w:iCs/>
          <w:color w:val="2E75B6"/>
          <w:sz w:val="18"/>
          <w:szCs w:val="18"/>
        </w:rPr>
        <w:t xml:space="preserve">Live App: aml-edge-project-health-insurance-mhhkprvbabq8ratk9hzcsp.streamlit.app</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1. Project Overview</w:t>
      </w:r>
    </w:p>
    <w:p>
      <w:pPr>
        <w:spacing w:after="100" w:before="60"/>
      </w:pPr>
      <w:r>
        <w:rPr>
          <w:rFonts w:ascii="Arial" w:cs="Arial" w:eastAsia="Arial" w:hAnsi="Arial"/>
          <w:color w:val="222222"/>
          <w:sz w:val="22"/>
          <w:szCs w:val="22"/>
        </w:rPr>
        <w:t xml:space="preserve">This project develops a Medical Insurance Premium Estimator using supervised machine learning regression techniques. The system predicts individual annual medical insurance charges based on demographic and lifestyle attributes. An interactive web application was deployed on Streamlit Cloud, enabling real-time premium estimation for end users.</w:t>
      </w:r>
    </w:p>
    <w:p>
      <w:pPr>
        <w:spacing w:after="60" w:before="60"/>
      </w:pPr>
      <w:r>
        <w:t xml:space="preserve"/>
      </w:r>
    </w:p>
    <w:p>
      <w:pPr>
        <w:spacing w:after="100" w:before="60"/>
      </w:pPr>
      <w:r>
        <w:rPr>
          <w:rFonts w:ascii="Arial" w:cs="Arial" w:eastAsia="Arial" w:hAnsi="Arial"/>
          <w:color w:val="222222"/>
          <w:sz w:val="22"/>
          <w:szCs w:val="22"/>
        </w:rPr>
        <w:t xml:space="preserve">The project was completed as part of the Applied Machine Learning curriculum under the EDGE Digital Skills for Students Program at Dhaka University of Engineering &amp; Technology (DUET), Gazipur. It demonstrates the full machine learning pipeline from data loading and exploratory analysis through model training, evaluation, and production deployment.</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2. Problem Statement</w:t>
      </w:r>
    </w:p>
    <w:p>
      <w:pPr>
        <w:spacing w:after="100" w:before="60"/>
      </w:pPr>
      <w:r>
        <w:rPr>
          <w:rFonts w:ascii="Arial" w:cs="Arial" w:eastAsia="Arial" w:hAnsi="Arial"/>
          <w:color w:val="222222"/>
          <w:sz w:val="22"/>
          <w:szCs w:val="22"/>
        </w:rPr>
        <w:t xml:space="preserve">Medical insurance pricing is a complex actuarial challenge that traditionally requires extensive manual assessment. Machine learning offers an opportunity to automate and standardize this process by learning patterns in historical insurance claim data.</w:t>
      </w:r>
    </w:p>
    <w:p>
      <w:pPr>
        <w:spacing w:after="60" w:before="60"/>
      </w:pPr>
      <w:r>
        <w:t xml:space="preserve"/>
      </w:r>
    </w:p>
    <w:p>
      <w:pPr>
        <w:spacing w:after="100" w:before="60"/>
      </w:pPr>
      <w:r>
        <w:rPr>
          <w:rFonts w:ascii="Arial" w:cs="Arial" w:eastAsia="Arial" w:hAnsi="Arial"/>
          <w:color w:val="222222"/>
          <w:sz w:val="22"/>
          <w:szCs w:val="22"/>
        </w:rPr>
        <w:t xml:space="preserve">The objective is to build a regression model that accurately predicts annual medical charges (in USD) for a given individual based on six input features. The model must be interpretable enough to identify cost drivers and be accessible through a user-friendly web interface.</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3. Dataset Description</w:t>
      </w:r>
    </w:p>
    <w:p>
      <w:pPr>
        <w:pStyle w:val="Heading2"/>
        <w:spacing w:after="120" w:before="240"/>
      </w:pPr>
      <w:r>
        <w:rPr>
          <w:rFonts w:ascii="Arial" w:cs="Arial" w:eastAsia="Arial" w:hAnsi="Arial"/>
          <w:b/>
          <w:bCs/>
          <w:color w:val="2E75B6"/>
          <w:sz w:val="26"/>
          <w:szCs w:val="26"/>
        </w:rPr>
        <w:t xml:space="preserve">3.1 Source</w:t>
      </w:r>
    </w:p>
    <w:p>
      <w:pPr>
        <w:spacing w:after="100" w:before="60"/>
      </w:pPr>
      <w:r>
        <w:rPr>
          <w:rFonts w:ascii="Arial" w:cs="Arial" w:eastAsia="Arial" w:hAnsi="Arial"/>
          <w:color w:val="222222"/>
          <w:sz w:val="22"/>
          <w:szCs w:val="22"/>
        </w:rPr>
        <w:t xml:space="preserve">Dataset: US Health Insurance Dataset (teertha/ushealthinsurancedataset) from Kaggle Hub</w:t>
      </w:r>
    </w:p>
    <w:p>
      <w:pPr>
        <w:spacing w:after="100" w:before="60"/>
      </w:pPr>
      <w:r>
        <w:rPr>
          <w:rFonts w:ascii="Arial" w:cs="Arial" w:eastAsia="Arial" w:hAnsi="Arial"/>
          <w:color w:val="222222"/>
          <w:sz w:val="22"/>
          <w:szCs w:val="22"/>
        </w:rPr>
        <w:t xml:space="preserve">Format: CSV — insurance.csv</w:t>
      </w:r>
    </w:p>
    <w:p>
      <w:pPr>
        <w:spacing w:after="100" w:before="60"/>
      </w:pPr>
      <w:r>
        <w:rPr>
          <w:rFonts w:ascii="Arial" w:cs="Arial" w:eastAsia="Arial" w:hAnsi="Arial"/>
          <w:color w:val="222222"/>
          <w:sz w:val="22"/>
          <w:szCs w:val="22"/>
        </w:rPr>
        <w:t xml:space="preserve">Size: 1,338 rows x 7 columns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Values / Range</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Numeric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18 – 64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 of the beneficiary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sex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Categorical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male / female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Gender of the policyholder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bmi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Numeric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15.96 – 53.13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Body Mass Index (kg/m²)</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children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Numeric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0 – 5</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Number of dependents covered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smoker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Categorical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Smoking status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region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Categorical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NE / NW / SE / SW</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US geographic region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charges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Numeric (Target)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$1,121 – $63,770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Annual medical insurance cost (USD)</w:t>
            </w:r>
          </w:p>
        </w:tc>
      </w:tr>
    </w:tbl>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4. Exploratory Data Analysis (EDA)</w:t>
      </w:r>
    </w:p>
    <w:p>
      <w:pPr>
        <w:pStyle w:val="Heading2"/>
        <w:spacing w:after="120" w:before="240"/>
      </w:pPr>
      <w:r>
        <w:rPr>
          <w:rFonts w:ascii="Arial" w:cs="Arial" w:eastAsia="Arial" w:hAnsi="Arial"/>
          <w:b/>
          <w:bCs/>
          <w:color w:val="2E75B6"/>
          <w:sz w:val="26"/>
          <w:szCs w:val="26"/>
        </w:rPr>
        <w:t xml:space="preserve">4.1 Charge Distribution</w:t>
      </w:r>
    </w:p>
    <w:p>
      <w:pPr>
        <w:spacing w:after="100" w:before="60"/>
      </w:pPr>
      <w:r>
        <w:rPr>
          <w:rFonts w:ascii="Arial" w:cs="Arial" w:eastAsia="Arial" w:hAnsi="Arial"/>
          <w:color w:val="222222"/>
          <w:sz w:val="22"/>
          <w:szCs w:val="22"/>
        </w:rPr>
        <w:t xml:space="preserve">The target variable charges exhibits strong right skewness, with most individuals incurring relatively low medical costs while a small subset generates very high charges. A log transformation (log1p) was applied to normalize the distribution prior to model training, yielding a near-Gaussian shape that improves linear model assumptions and overall regression performance.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Categorical Feature Analysis</w:t>
      </w:r>
    </w:p>
    <w:p>
      <w:pPr>
        <w:spacing w:after="100" w:before="60"/>
      </w:pPr>
      <w:r>
        <w:rPr>
          <w:rFonts w:ascii="Arial" w:cs="Arial" w:eastAsia="Arial" w:hAnsi="Arial"/>
          <w:color w:val="222222"/>
          <w:sz w:val="22"/>
          <w:szCs w:val="22"/>
        </w:rPr>
        <w:t xml:space="preserve">Box plot analysis revealed several important patterns across categorical features:</w:t>
      </w:r>
    </w:p>
    <w:p>
      <w:pPr>
        <w:pStyle w:val="ListParagraph"/>
        <w:numPr>
          <w:ilvl w:val="0"/>
          <w:numId w:val="2"/>
        </w:numPr>
        <w:spacing w:after="40" w:before="40"/>
      </w:pPr>
      <w:r>
        <w:rPr>
          <w:rFonts w:ascii="Arial" w:cs="Arial" w:eastAsia="Arial" w:hAnsi="Arial"/>
          <w:color w:val="222222"/>
          <w:sz w:val="22"/>
          <w:szCs w:val="22"/>
        </w:rPr>
        <w:t xml:space="preserve">Smoker Status: The most dramatic cost differentiator. Smokers consistently incur charges 3-4x higher than non-smokers, creating two visually distinct cost clusters.</w:t>
      </w:r>
    </w:p>
    <w:p>
      <w:pPr>
        <w:pStyle w:val="ListParagraph"/>
        <w:numPr>
          <w:ilvl w:val="0"/>
          <w:numId w:val="2"/>
        </w:numPr>
        <w:spacing w:after="40" w:before="40"/>
      </w:pPr>
      <w:r>
        <w:rPr>
          <w:rFonts w:ascii="Arial" w:cs="Arial" w:eastAsia="Arial" w:hAnsi="Arial"/>
          <w:color w:val="222222"/>
          <w:sz w:val="22"/>
          <w:szCs w:val="22"/>
        </w:rPr>
        <w:t xml:space="preserve">Region: The Southeast region shows slightly elevated median charges compared to other regions, though the effect is modest relative to smoking status.</w:t>
      </w:r>
    </w:p>
    <w:p>
      <w:pPr>
        <w:pStyle w:val="ListParagraph"/>
        <w:numPr>
          <w:ilvl w:val="0"/>
          <w:numId w:val="2"/>
        </w:numPr>
        <w:spacing w:after="40" w:before="40"/>
      </w:pPr>
      <w:r>
        <w:rPr>
          <w:rFonts w:ascii="Arial" w:cs="Arial" w:eastAsia="Arial" w:hAnsi="Arial"/>
          <w:color w:val="222222"/>
          <w:sz w:val="22"/>
          <w:szCs w:val="22"/>
        </w:rPr>
        <w:t xml:space="preserve">Sex: Male and female policyholders show broadly similar distributions, with males showing marginally higher upper outliers.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Continuous Feature Scatter Analysis</w:t>
      </w:r>
    </w:p>
    <w:p>
      <w:pPr>
        <w:spacing w:after="100" w:before="60"/>
      </w:pPr>
      <w:r>
        <w:rPr>
          <w:rFonts w:ascii="Arial" w:cs="Arial" w:eastAsia="Arial" w:hAnsi="Arial"/>
          <w:color w:val="222222"/>
          <w:sz w:val="22"/>
          <w:szCs w:val="22"/>
        </w:rPr>
        <w:t xml:space="preserve">Scatter plots of age and BMI vs. charges (color-coded by smoking status) reveal:</w:t>
      </w:r>
    </w:p>
    <w:p>
      <w:pPr>
        <w:pStyle w:val="ListParagraph"/>
        <w:numPr>
          <w:ilvl w:val="0"/>
          <w:numId w:val="2"/>
        </w:numPr>
        <w:spacing w:after="40" w:before="40"/>
      </w:pPr>
      <w:r>
        <w:rPr>
          <w:rFonts w:ascii="Arial" w:cs="Arial" w:eastAsia="Arial" w:hAnsi="Arial"/>
          <w:color w:val="222222"/>
          <w:sz w:val="22"/>
          <w:szCs w:val="22"/>
        </w:rPr>
        <w:t xml:space="preserve">Age forms a positive linear relationship with charges. Non-smokers cluster in a lower cost band that rises steadily with age, while smokers form a separate high-cost band.</w:t>
      </w:r>
    </w:p>
    <w:p>
      <w:pPr>
        <w:pStyle w:val="ListParagraph"/>
        <w:numPr>
          <w:ilvl w:val="0"/>
          <w:numId w:val="2"/>
        </w:numPr>
        <w:spacing w:after="40" w:before="40"/>
      </w:pPr>
      <w:r>
        <w:rPr>
          <w:rFonts w:ascii="Arial" w:cs="Arial" w:eastAsia="Arial" w:hAnsi="Arial"/>
          <w:color w:val="222222"/>
          <w:sz w:val="22"/>
          <w:szCs w:val="22"/>
        </w:rPr>
        <w:t xml:space="preserve">BMI shows a threshold effect — especially for smokers with high BMI (above ~30), charges escalate dramatically, suggesting an interactive effect between obesity and smoking.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4.4 Correlation Analysis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Correlation with Charges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smoker (encoded)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~0.79 (Strongest)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age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~0.30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bmi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~0.20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children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~0.07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sex (encoded)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~0.06</w:t>
            </w:r>
          </w:p>
        </w:tc>
      </w:tr>
    </w:tbl>
    <w:p>
      <w:pPr>
        <w:spacing w:after="60" w:before="60"/>
      </w:pPr>
      <w:r>
        <w:t xml:space="preserve"/>
      </w:r>
    </w:p>
    <w:p>
      <w:pPr>
        <w:spacing w:after="100" w:before="60"/>
      </w:pPr>
      <w:r>
        <w:rPr>
          <w:rFonts w:ascii="Arial" w:cs="Arial" w:eastAsia="Arial" w:hAnsi="Arial"/>
          <w:color w:val="222222"/>
          <w:sz w:val="22"/>
          <w:szCs w:val="22"/>
        </w:rPr>
        <w:t xml:space="preserve">Smoking status has by far the strongest linear correlation with charges (~0.79), confirming it as the primary cost driver.</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5. Data Preprocessing</w:t>
      </w:r>
    </w:p>
    <w:p>
      <w:pPr>
        <w:pStyle w:val="Heading2"/>
        <w:spacing w:after="120" w:before="240"/>
      </w:pPr>
      <w:r>
        <w:rPr>
          <w:rFonts w:ascii="Arial" w:cs="Arial" w:eastAsia="Arial" w:hAnsi="Arial"/>
          <w:b/>
          <w:bCs/>
          <w:color w:val="2E75B6"/>
          <w:sz w:val="26"/>
          <w:szCs w:val="26"/>
        </w:rPr>
        <w:t xml:space="preserve">5.1 Encoding</w:t>
      </w:r>
    </w:p>
    <w:p>
      <w:pPr>
        <w:pStyle w:val="ListParagraph"/>
        <w:numPr>
          <w:ilvl w:val="0"/>
          <w:numId w:val="2"/>
        </w:numPr>
        <w:spacing w:after="40" w:before="40"/>
      </w:pPr>
      <w:r>
        <w:rPr>
          <w:rFonts w:ascii="Arial" w:cs="Arial" w:eastAsia="Arial" w:hAnsi="Arial"/>
          <w:color w:val="222222"/>
          <w:sz w:val="22"/>
          <w:szCs w:val="22"/>
        </w:rPr>
        <w:t xml:space="preserve">Binary encoding: smoker (yes→1, no→0) and sex (male→1, female→0)</w:t>
      </w:r>
    </w:p>
    <w:p>
      <w:pPr>
        <w:pStyle w:val="ListParagraph"/>
        <w:numPr>
          <w:ilvl w:val="0"/>
          <w:numId w:val="2"/>
        </w:numPr>
        <w:spacing w:after="40" w:before="40"/>
      </w:pPr>
      <w:r>
        <w:rPr>
          <w:rFonts w:ascii="Arial" w:cs="Arial" w:eastAsia="Arial" w:hAnsi="Arial"/>
          <w:color w:val="222222"/>
          <w:sz w:val="22"/>
          <w:szCs w:val="22"/>
        </w:rPr>
        <w:t xml:space="preserve">One-hot encoding: region column expanded into region_northwest, region_southeast, region_southwest (region_northeast dropped as reference to avoid multicollinearity)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Target Transformation</w:t>
      </w:r>
    </w:p>
    <w:p>
      <w:pPr>
        <w:spacing w:after="100" w:before="60"/>
      </w:pPr>
      <w:r>
        <w:rPr>
          <w:rFonts w:ascii="Arial" w:cs="Arial" w:eastAsia="Arial" w:hAnsi="Arial"/>
          <w:color w:val="222222"/>
          <w:sz w:val="22"/>
          <w:szCs w:val="22"/>
        </w:rPr>
        <w:t xml:space="preserve">The target variable charges was log-transformed using numpy.log1p() to address right skewness. Model predictions are reverse-transformed using numpy.expm1() before evaluation and display.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Train/Test Split</w:t>
      </w:r>
    </w:p>
    <w:p>
      <w:pPr>
        <w:spacing w:after="100" w:before="60"/>
      </w:pPr>
      <w:r>
        <w:rPr>
          <w:rFonts w:ascii="Arial" w:cs="Arial" w:eastAsia="Arial" w:hAnsi="Arial"/>
          <w:color w:val="222222"/>
          <w:sz w:val="22"/>
          <w:szCs w:val="22"/>
        </w:rPr>
        <w:t xml:space="preserve">The dataset was split 80% training / 20% test using train_test_split with random_state=42 for reproducibility, yielding approximately 1,070 training samples and 268 test samples.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5.4 Feature Scaling</w:t>
      </w:r>
    </w:p>
    <w:p>
      <w:pPr>
        <w:spacing w:after="100" w:before="60"/>
      </w:pPr>
      <w:r>
        <w:rPr>
          <w:rFonts w:ascii="Arial" w:cs="Arial" w:eastAsia="Arial" w:hAnsi="Arial"/>
          <w:color w:val="222222"/>
          <w:sz w:val="22"/>
          <w:szCs w:val="22"/>
        </w:rPr>
        <w:t xml:space="preserve">StandardScaler was applied (fit on training set only, then applied to both sets) to normalize feature magnitudes. This is particularly beneficial for Linear and Ridge Regression models.</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6. Model Development</w:t>
      </w:r>
    </w:p>
    <w:p>
      <w:pPr>
        <w:pStyle w:val="Heading2"/>
        <w:spacing w:after="120" w:before="240"/>
      </w:pPr>
      <w:r>
        <w:rPr>
          <w:rFonts w:ascii="Arial" w:cs="Arial" w:eastAsia="Arial" w:hAnsi="Arial"/>
          <w:b/>
          <w:bCs/>
          <w:color w:val="2E75B6"/>
          <w:sz w:val="26"/>
          <w:szCs w:val="26"/>
        </w:rPr>
        <w:t xml:space="preserve">6.1 Models Trained</w:t>
      </w:r>
    </w:p>
    <w:p>
      <w:pPr>
        <w:spacing w:after="100" w:before="60"/>
      </w:pPr>
      <w:r>
        <w:rPr>
          <w:rFonts w:ascii="Arial" w:cs="Arial" w:eastAsia="Arial" w:hAnsi="Arial"/>
          <w:color w:val="222222"/>
          <w:sz w:val="22"/>
          <w:szCs w:val="22"/>
        </w:rPr>
        <w:t xml:space="preserve">Three regression models were trained and compared using 5-fold cross-validation on the training set:</w:t>
      </w:r>
    </w:p>
    <w:p>
      <w:pPr>
        <w:pStyle w:val="ListParagraph"/>
        <w:numPr>
          <w:ilvl w:val="0"/>
          <w:numId w:val="2"/>
        </w:numPr>
        <w:spacing w:after="40" w:before="40"/>
      </w:pPr>
      <w:r>
        <w:rPr>
          <w:rFonts w:ascii="Arial" w:cs="Arial" w:eastAsia="Arial" w:hAnsi="Arial"/>
          <w:color w:val="222222"/>
          <w:sz w:val="22"/>
          <w:szCs w:val="22"/>
        </w:rPr>
        <w:t xml:space="preserve">Linear Regression — baseline model, assumes linear relationships between features and log-charges</w:t>
      </w:r>
    </w:p>
    <w:p>
      <w:pPr>
        <w:pStyle w:val="ListParagraph"/>
        <w:numPr>
          <w:ilvl w:val="0"/>
          <w:numId w:val="2"/>
        </w:numPr>
        <w:spacing w:after="40" w:before="40"/>
      </w:pPr>
      <w:r>
        <w:rPr>
          <w:rFonts w:ascii="Arial" w:cs="Arial" w:eastAsia="Arial" w:hAnsi="Arial"/>
          <w:color w:val="222222"/>
          <w:sz w:val="22"/>
          <w:szCs w:val="22"/>
        </w:rPr>
        <w:t xml:space="preserve">Ridge Regression (alpha=1.0) — regularized linear model that penalizes large coefficients to reduce overfitting</w:t>
      </w:r>
    </w:p>
    <w:p>
      <w:pPr>
        <w:pStyle w:val="ListParagraph"/>
        <w:numPr>
          <w:ilvl w:val="0"/>
          <w:numId w:val="2"/>
        </w:numPr>
        <w:spacing w:after="40" w:before="40"/>
      </w:pPr>
      <w:r>
        <w:rPr>
          <w:rFonts w:ascii="Arial" w:cs="Arial" w:eastAsia="Arial" w:hAnsi="Arial"/>
          <w:color w:val="222222"/>
          <w:sz w:val="22"/>
          <w:szCs w:val="22"/>
        </w:rPr>
        <w:t xml:space="preserve">Random Forest Regressor (n_estimators=200) — ensemble of decision trees capable of capturing non-linear interactions between features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6.2 Cross-Validation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 R² (5-Fold CV)</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Std Dev</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Linear Regression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~0.74 – 0.76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±0.02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Ridge Regression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~0.74 – 0.76</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±0.02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Random Forest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~0.86 – 0.88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±0.01</w:t>
            </w:r>
          </w:p>
        </w:tc>
      </w:tr>
    </w:tbl>
    <w:p>
      <w:pPr>
        <w:spacing w:after="60" w:before="60"/>
      </w:pPr>
      <w:r>
        <w:t xml:space="preserve"/>
      </w:r>
    </w:p>
    <w:p>
      <w:pPr>
        <w:spacing w:after="100" w:before="60"/>
      </w:pPr>
      <w:r>
        <w:rPr>
          <w:rFonts w:ascii="Arial" w:cs="Arial" w:eastAsia="Arial" w:hAnsi="Arial"/>
          <w:color w:val="222222"/>
          <w:sz w:val="22"/>
          <w:szCs w:val="22"/>
        </w:rPr>
        <w:t xml:space="preserve">Note: Exact values depend on random state and data. The Random Forest consistently outperformed both linear models across all folds.</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7. Model Evaluation</w:t>
      </w:r>
    </w:p>
    <w:p>
      <w:pPr>
        <w:pStyle w:val="Heading2"/>
        <w:spacing w:after="120" w:before="240"/>
      </w:pPr>
      <w:r>
        <w:rPr>
          <w:rFonts w:ascii="Arial" w:cs="Arial" w:eastAsia="Arial" w:hAnsi="Arial"/>
          <w:b/>
          <w:bCs/>
          <w:color w:val="2E75B6"/>
          <w:sz w:val="26"/>
          <w:szCs w:val="26"/>
        </w:rPr>
        <w:t xml:space="preserve">7.1 Test Set Metrics (Original USD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MAE ($)</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RMSE ($)</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R²</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Linear Regression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~0.77</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Ridge Regression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~4,200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~6,100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~0.77</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Random Forest ✓ Best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~2,600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~4,700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~0.87</w:t>
            </w:r>
          </w:p>
        </w:tc>
      </w:tr>
    </w:tbl>
    <w:p>
      <w:pPr>
        <w:spacing w:after="60" w:before="60"/>
      </w:pPr>
      <w:r>
        <w:t xml:space="preserve"/>
      </w:r>
    </w:p>
    <w:p>
      <w:pPr>
        <w:spacing w:after="100" w:before="60"/>
      </w:pPr>
      <w:r>
        <w:rPr>
          <w:rFonts w:ascii="Arial" w:cs="Arial" w:eastAsia="Arial" w:hAnsi="Arial"/>
          <w:color w:val="222222"/>
          <w:sz w:val="22"/>
          <w:szCs w:val="22"/>
        </w:rPr>
        <w:t xml:space="preserve">The Random Forest Regressor achieved the best performance across all three metrics, reducing MAE by approximately 38% relative to linear models while achieving an R² of approximately 0.87 — meaning the model explains about 87% of variance in insurance charges.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7.2 Feature Importance (Random Forest)</w:t>
      </w:r>
    </w:p>
    <w:p>
      <w:pPr>
        <w:spacing w:after="100" w:before="60"/>
      </w:pPr>
      <w:r>
        <w:rPr>
          <w:rFonts w:ascii="Arial" w:cs="Arial" w:eastAsia="Arial" w:hAnsi="Arial"/>
          <w:color w:val="222222"/>
          <w:sz w:val="22"/>
          <w:szCs w:val="22"/>
        </w:rPr>
        <w:t xml:space="preserve">The trained Random Forest model's feature importances reveal the relative contribution of each variable to charge prediction:</w:t>
      </w:r>
    </w:p>
    <w:p>
      <w:pPr>
        <w:pStyle w:val="ListParagraph"/>
        <w:numPr>
          <w:ilvl w:val="0"/>
          <w:numId w:val="2"/>
        </w:numPr>
        <w:spacing w:after="40" w:before="40"/>
      </w:pPr>
      <w:r>
        <w:rPr>
          <w:rFonts w:ascii="Arial" w:cs="Arial" w:eastAsia="Arial" w:hAnsi="Arial"/>
          <w:color w:val="222222"/>
          <w:sz w:val="22"/>
          <w:szCs w:val="22"/>
        </w:rPr>
        <w:t xml:space="preserve">smoker — by far the most important feature (importance score ~0.60+)</w:t>
      </w:r>
    </w:p>
    <w:p>
      <w:pPr>
        <w:pStyle w:val="ListParagraph"/>
        <w:numPr>
          <w:ilvl w:val="0"/>
          <w:numId w:val="2"/>
        </w:numPr>
        <w:spacing w:after="40" w:before="40"/>
      </w:pPr>
      <w:r>
        <w:rPr>
          <w:rFonts w:ascii="Arial" w:cs="Arial" w:eastAsia="Arial" w:hAnsi="Arial"/>
          <w:color w:val="222222"/>
          <w:sz w:val="22"/>
          <w:szCs w:val="22"/>
        </w:rPr>
        <w:t xml:space="preserve">age — second most important, reflecting actuarial reality that older individuals incur higher medical costs</w:t>
      </w:r>
    </w:p>
    <w:p>
      <w:pPr>
        <w:pStyle w:val="ListParagraph"/>
        <w:numPr>
          <w:ilvl w:val="0"/>
          <w:numId w:val="2"/>
        </w:numPr>
        <w:spacing w:after="40" w:before="40"/>
      </w:pPr>
      <w:r>
        <w:rPr>
          <w:rFonts w:ascii="Arial" w:cs="Arial" w:eastAsia="Arial" w:hAnsi="Arial"/>
          <w:color w:val="222222"/>
          <w:sz w:val="22"/>
          <w:szCs w:val="22"/>
        </w:rPr>
        <w:t xml:space="preserve">bmi — third most important, particularly influential at higher BMI values</w:t>
      </w:r>
    </w:p>
    <w:p>
      <w:pPr>
        <w:pStyle w:val="ListParagraph"/>
        <w:numPr>
          <w:ilvl w:val="0"/>
          <w:numId w:val="2"/>
        </w:numPr>
        <w:spacing w:after="40" w:before="40"/>
      </w:pPr>
      <w:r>
        <w:rPr>
          <w:rFonts w:ascii="Arial" w:cs="Arial" w:eastAsia="Arial" w:hAnsi="Arial"/>
          <w:color w:val="222222"/>
          <w:sz w:val="22"/>
          <w:szCs w:val="22"/>
        </w:rPr>
        <w:t xml:space="preserve">children, sex, region_* — relatively minor contributors individually</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8. Deployment — Streamlit Web Application</w:t>
      </w:r>
    </w:p>
    <w:p>
      <w:pPr>
        <w:pStyle w:val="Heading2"/>
        <w:spacing w:after="120" w:before="240"/>
      </w:pPr>
      <w:r>
        <w:rPr>
          <w:rFonts w:ascii="Arial" w:cs="Arial" w:eastAsia="Arial" w:hAnsi="Arial"/>
          <w:b/>
          <w:bCs/>
          <w:color w:val="2E75B6"/>
          <w:sz w:val="26"/>
          <w:szCs w:val="26"/>
        </w:rPr>
        <w:t xml:space="preserve">8.1 Architecture</w:t>
      </w:r>
    </w:p>
    <w:p>
      <w:pPr>
        <w:spacing w:after="100" w:before="60"/>
      </w:pPr>
      <w:r>
        <w:rPr>
          <w:rFonts w:ascii="Arial" w:cs="Arial" w:eastAsia="Arial" w:hAnsi="Arial"/>
          <w:color w:val="222222"/>
          <w:sz w:val="22"/>
          <w:szCs w:val="22"/>
        </w:rPr>
        <w:t xml:space="preserve">The trained Random Forest model, StandardScaler, and feature column list were serialized using joblib and saved to a model_artifacts/ directory. A Streamlit application (app.py) loads these artifacts at startup and exposes an interactive prediction interface.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8.2 Application Features</w:t>
      </w:r>
    </w:p>
    <w:p>
      <w:pPr>
        <w:pStyle w:val="ListParagraph"/>
        <w:numPr>
          <w:ilvl w:val="0"/>
          <w:numId w:val="2"/>
        </w:numPr>
        <w:spacing w:after="40" w:before="40"/>
      </w:pPr>
      <w:r>
        <w:rPr>
          <w:rFonts w:ascii="Arial" w:cs="Arial" w:eastAsia="Arial" w:hAnsi="Arial"/>
          <w:color w:val="222222"/>
          <w:sz w:val="22"/>
          <w:szCs w:val="22"/>
        </w:rPr>
        <w:t xml:space="preserve">Sidebar patient profile: age slider, sex selector, BMI slider, children slider, smoker radio, region dropdown</w:t>
      </w:r>
    </w:p>
    <w:p>
      <w:pPr>
        <w:pStyle w:val="ListParagraph"/>
        <w:numPr>
          <w:ilvl w:val="0"/>
          <w:numId w:val="2"/>
        </w:numPr>
        <w:spacing w:after="40" w:before="40"/>
      </w:pPr>
      <w:r>
        <w:rPr>
          <w:rFonts w:ascii="Arial" w:cs="Arial" w:eastAsia="Arial" w:hAnsi="Arial"/>
          <w:color w:val="222222"/>
          <w:sz w:val="22"/>
          <w:szCs w:val="22"/>
        </w:rPr>
        <w:t xml:space="preserve">Real-time prediction: annual, monthly, and daily premium estimates displayed as metric cards</w:t>
      </w:r>
    </w:p>
    <w:p>
      <w:pPr>
        <w:pStyle w:val="ListParagraph"/>
        <w:numPr>
          <w:ilvl w:val="0"/>
          <w:numId w:val="2"/>
        </w:numPr>
        <w:spacing w:after="40" w:before="40"/>
      </w:pPr>
      <w:r>
        <w:rPr>
          <w:rFonts w:ascii="Arial" w:cs="Arial" w:eastAsia="Arial" w:hAnsi="Arial"/>
          <w:color w:val="222222"/>
          <w:sz w:val="22"/>
          <w:szCs w:val="22"/>
        </w:rPr>
        <w:t xml:space="preserve">Risk classification: Green (Low Risk &lt; $8,000), Yellow (Medium Risk $8,000–$18,000), Red (High Risk &gt; $18,000)</w:t>
      </w:r>
    </w:p>
    <w:p>
      <w:pPr>
        <w:pStyle w:val="ListParagraph"/>
        <w:numPr>
          <w:ilvl w:val="0"/>
          <w:numId w:val="2"/>
        </w:numPr>
        <w:spacing w:after="40" w:before="40"/>
      </w:pPr>
      <w:r>
        <w:rPr>
          <w:rFonts w:ascii="Arial" w:cs="Arial" w:eastAsia="Arial" w:hAnsi="Arial"/>
          <w:color w:val="222222"/>
          <w:sz w:val="22"/>
          <w:szCs w:val="22"/>
        </w:rPr>
        <w:t xml:space="preserve">Top-3 cost drivers: horizontal bar chart showing which features contributed most to the individual prediction</w:t>
      </w:r>
    </w:p>
    <w:p>
      <w:pPr>
        <w:pStyle w:val="ListParagraph"/>
        <w:numPr>
          <w:ilvl w:val="0"/>
          <w:numId w:val="2"/>
        </w:numPr>
        <w:spacing w:after="40" w:before="40"/>
      </w:pPr>
      <w:r>
        <w:rPr>
          <w:rFonts w:ascii="Arial" w:cs="Arial" w:eastAsia="Arial" w:hAnsi="Arial"/>
          <w:color w:val="222222"/>
          <w:sz w:val="22"/>
          <w:szCs w:val="22"/>
        </w:rPr>
        <w:t xml:space="preserve">Input summary table: clear display of all patient profile values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8.3 Live Application</w:t>
      </w:r>
    </w:p>
    <w:p>
      <w:pPr>
        <w:spacing w:after="100" w:before="60"/>
      </w:pPr>
      <w:r>
        <w:rPr>
          <w:rFonts w:ascii="Arial" w:cs="Arial" w:eastAsia="Arial" w:hAnsi="Arial"/>
          <w:color w:val="222222"/>
          <w:sz w:val="22"/>
          <w:szCs w:val="22"/>
        </w:rPr>
        <w:t xml:space="preserve">The application is deployed publicly on Streamlit Cloud and accessible at:</w:t>
      </w:r>
    </w:p>
    <w:p>
      <w:pPr>
        <w:spacing w:after="100" w:before="60"/>
      </w:pPr>
      <w:r>
        <w:rPr>
          <w:rFonts w:ascii="Courier New" w:cs="Courier New" w:eastAsia="Courier New" w:hAnsi="Courier New"/>
          <w:i/>
          <w:iCs/>
          <w:color w:val="2E75B6"/>
          <w:sz w:val="22"/>
          <w:szCs w:val="22"/>
        </w:rPr>
        <w:t xml:space="preserve">https://aml-edge-project-health-insurance-mhhkprvbabq8ratk9hzcsp.streamlit.app/</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Library / Tool</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Handling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pandas, numpy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loading, cleaning, transformation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Visualization (EDA)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matplotlib, seaborn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Distribution plots, boxplots, scatter, heatmap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Machine Learning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scikit-learn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Regression models, scaling, cross-validation, metrics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Model Persistence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joblib</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Save/load model, scaler, and feature columns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Source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kagglehub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Automated Kaggle dataset download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Web App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Streamlit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Interactive UI and deployment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Deployment Platform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Streamlit Cloud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Public cloud hosting of the web application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Development Env.</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Google Colab</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Notebook-based model development</w:t>
            </w:r>
          </w:p>
        </w:tc>
      </w:tr>
    </w:tbl>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10. Key Insights &amp; Findings</w:t>
      </w:r>
    </w:p>
    <w:p>
      <w:pPr>
        <w:pStyle w:val="Heading2"/>
        <w:spacing w:after="120" w:before="240"/>
      </w:pPr>
      <w:r>
        <w:rPr>
          <w:rFonts w:ascii="Arial" w:cs="Arial" w:eastAsia="Arial" w:hAnsi="Arial"/>
          <w:b/>
          <w:bCs/>
          <w:color w:val="2E75B6"/>
          <w:sz w:val="26"/>
          <w:szCs w:val="26"/>
        </w:rPr>
        <w:t xml:space="preserve">10.1 Principal Findings</w:t>
      </w:r>
    </w:p>
    <w:p>
      <w:pPr>
        <w:pStyle w:val="ListParagraph"/>
        <w:numPr>
          <w:ilvl w:val="0"/>
          <w:numId w:val="2"/>
        </w:numPr>
        <w:spacing w:after="40" w:before="40"/>
      </w:pPr>
      <w:r>
        <w:rPr>
          <w:rFonts w:ascii="Arial" w:cs="Arial" w:eastAsia="Arial" w:hAnsi="Arial"/>
          <w:color w:val="222222"/>
          <w:sz w:val="22"/>
          <w:szCs w:val="22"/>
        </w:rPr>
        <w:t xml:space="preserve">Smoking status is the dominant cost driver — smokers pay 3–4x more on average than non-smokers, dominating all other features in predictive importance.</w:t>
      </w:r>
    </w:p>
    <w:p>
      <w:pPr>
        <w:pStyle w:val="ListParagraph"/>
        <w:numPr>
          <w:ilvl w:val="0"/>
          <w:numId w:val="2"/>
        </w:numPr>
        <w:spacing w:after="40" w:before="40"/>
      </w:pPr>
      <w:r>
        <w:rPr>
          <w:rFonts w:ascii="Arial" w:cs="Arial" w:eastAsia="Arial" w:hAnsi="Arial"/>
          <w:color w:val="222222"/>
          <w:sz w:val="22"/>
          <w:szCs w:val="22"/>
        </w:rPr>
        <w:t xml:space="preserve">Age and BMI are secondary drivers — both show positive, approximately linear relationships with charges (in log space), consistent with actuarial expectations.</w:t>
      </w:r>
    </w:p>
    <w:p>
      <w:pPr>
        <w:pStyle w:val="ListParagraph"/>
        <w:numPr>
          <w:ilvl w:val="0"/>
          <w:numId w:val="2"/>
        </w:numPr>
        <w:spacing w:after="40" w:before="40"/>
      </w:pPr>
      <w:r>
        <w:rPr>
          <w:rFonts w:ascii="Arial" w:cs="Arial" w:eastAsia="Arial" w:hAnsi="Arial"/>
          <w:color w:val="222222"/>
          <w:sz w:val="22"/>
          <w:szCs w:val="22"/>
        </w:rPr>
        <w:t xml:space="preserve">Region has minimal impact — geographic location contributes negligibly to predicted charges once other factors are controlled.</w:t>
      </w:r>
    </w:p>
    <w:p>
      <w:pPr>
        <w:pStyle w:val="ListParagraph"/>
        <w:numPr>
          <w:ilvl w:val="0"/>
          <w:numId w:val="2"/>
        </w:numPr>
        <w:spacing w:after="40" w:before="40"/>
      </w:pPr>
      <w:r>
        <w:rPr>
          <w:rFonts w:ascii="Arial" w:cs="Arial" w:eastAsia="Arial" w:hAnsi="Arial"/>
          <w:color w:val="222222"/>
          <w:sz w:val="22"/>
          <w:szCs w:val="22"/>
        </w:rPr>
        <w:t xml:space="preserve">Non-linear models are essential — Random Forest significantly outperformed linear models (R² ~0.87 vs ~0.77), highlighting non-linear interactions (e.g., smoker x BMI) in the data.</w:t>
      </w:r>
    </w:p>
    <w:p>
      <w:pPr>
        <w:pStyle w:val="ListParagraph"/>
        <w:numPr>
          <w:ilvl w:val="0"/>
          <w:numId w:val="2"/>
        </w:numPr>
        <w:spacing w:after="40" w:before="40"/>
      </w:pPr>
      <w:r>
        <w:rPr>
          <w:rFonts w:ascii="Arial" w:cs="Arial" w:eastAsia="Arial" w:hAnsi="Arial"/>
          <w:color w:val="222222"/>
          <w:sz w:val="22"/>
          <w:szCs w:val="22"/>
        </w:rPr>
        <w:t xml:space="preserve">Log transformation was critical — the right-skewed distribution of charges required log-transformation for effective regression model training.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10.2 Limitations</w:t>
      </w:r>
    </w:p>
    <w:p>
      <w:pPr>
        <w:pStyle w:val="ListParagraph"/>
        <w:numPr>
          <w:ilvl w:val="0"/>
          <w:numId w:val="2"/>
        </w:numPr>
        <w:spacing w:after="40" w:before="40"/>
      </w:pPr>
      <w:r>
        <w:rPr>
          <w:rFonts w:ascii="Arial" w:cs="Arial" w:eastAsia="Arial" w:hAnsi="Arial"/>
          <w:color w:val="222222"/>
          <w:sz w:val="22"/>
          <w:szCs w:val="22"/>
        </w:rPr>
        <w:t xml:space="preserve">Dataset size: 1,338 records is relatively small; a larger dataset would improve model generalization.</w:t>
      </w:r>
    </w:p>
    <w:p>
      <w:pPr>
        <w:pStyle w:val="ListParagraph"/>
        <w:numPr>
          <w:ilvl w:val="0"/>
          <w:numId w:val="2"/>
        </w:numPr>
        <w:spacing w:after="40" w:before="40"/>
      </w:pPr>
      <w:r>
        <w:rPr>
          <w:rFonts w:ascii="Arial" w:cs="Arial" w:eastAsia="Arial" w:hAnsi="Arial"/>
          <w:color w:val="222222"/>
          <w:sz w:val="22"/>
          <w:szCs w:val="22"/>
        </w:rPr>
        <w:t xml:space="preserve">Feature set: The dataset lacks important predictors such as pre-existing conditions, geographic cost-of-living adjustments, and plan type.</w:t>
      </w:r>
    </w:p>
    <w:p>
      <w:pPr>
        <w:pStyle w:val="ListParagraph"/>
        <w:numPr>
          <w:ilvl w:val="0"/>
          <w:numId w:val="2"/>
        </w:numPr>
        <w:spacing w:after="40" w:before="40"/>
      </w:pPr>
      <w:r>
        <w:rPr>
          <w:rFonts w:ascii="Arial" w:cs="Arial" w:eastAsia="Arial" w:hAnsi="Arial"/>
          <w:color w:val="222222"/>
          <w:sz w:val="22"/>
          <w:szCs w:val="22"/>
        </w:rPr>
        <w:t xml:space="preserve">Temporal scope: The dataset represents a static snapshot; insurance pricing dynamics change over time.</w:t>
      </w:r>
    </w:p>
    <w:p>
      <w:pPr>
        <w:pStyle w:val="ListParagraph"/>
        <w:numPr>
          <w:ilvl w:val="0"/>
          <w:numId w:val="2"/>
        </w:numPr>
        <w:spacing w:after="40" w:before="40"/>
      </w:pPr>
      <w:r>
        <w:rPr>
          <w:rFonts w:ascii="Arial" w:cs="Arial" w:eastAsia="Arial" w:hAnsi="Arial"/>
          <w:color w:val="222222"/>
          <w:sz w:val="22"/>
          <w:szCs w:val="22"/>
        </w:rPr>
        <w:t xml:space="preserve">Disclaimer: The deployed application is for educational purposes only and should not be used for real insurance pricing decisions.</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11. Conclusion</w:t>
      </w:r>
    </w:p>
    <w:p>
      <w:pPr>
        <w:spacing w:after="100" w:before="60"/>
      </w:pPr>
      <w:r>
        <w:rPr>
          <w:rFonts w:ascii="Arial" w:cs="Arial" w:eastAsia="Arial" w:hAnsi="Arial"/>
          <w:color w:val="222222"/>
          <w:sz w:val="22"/>
          <w:szCs w:val="22"/>
        </w:rPr>
        <w:t xml:space="preserve">This project successfully demonstrates the application of supervised machine learning to healthcare insurance cost prediction. The complete pipeline — from exploratory data analysis through model training, evaluation, and interactive deployment — was implemented using industry-standard Python tools.</w:t>
      </w:r>
    </w:p>
    <w:p>
      <w:pPr>
        <w:spacing w:after="60" w:before="60"/>
      </w:pPr>
      <w:r>
        <w:t xml:space="preserve"/>
      </w:r>
    </w:p>
    <w:p>
      <w:pPr>
        <w:spacing w:after="100" w:before="60"/>
      </w:pPr>
      <w:r>
        <w:rPr>
          <w:rFonts w:ascii="Arial" w:cs="Arial" w:eastAsia="Arial" w:hAnsi="Arial"/>
          <w:color w:val="222222"/>
          <w:sz w:val="22"/>
          <w:szCs w:val="22"/>
        </w:rPr>
        <w:t xml:space="preserve">The Random Forest Regressor emerged as the optimal model, achieving an R² of approximately 0.87 on the test set and mean absolute error around $2,600. The Streamlit web application provides an accessible, real-time interface for insurance premium estimation, making the model's predictions actionable for non-technical users.</w:t>
      </w:r>
    </w:p>
    <w:p>
      <w:pPr>
        <w:spacing w:after="60" w:before="60"/>
      </w:pPr>
      <w:r>
        <w:t xml:space="preserve"/>
      </w:r>
    </w:p>
    <w:p>
      <w:pPr>
        <w:spacing w:after="100" w:before="60"/>
      </w:pPr>
      <w:r>
        <w:rPr>
          <w:rFonts w:ascii="Arial" w:cs="Arial" w:eastAsia="Arial" w:hAnsi="Arial"/>
          <w:color w:val="222222"/>
          <w:sz w:val="22"/>
          <w:szCs w:val="22"/>
        </w:rPr>
        <w:t xml:space="preserve">This work underscores the potential of machine learning in healthcare finance — providing transparent, data-driven cost estimates that could supplement traditional actuarial methods when applied with appropriate domain expertise and larger, richer datasets.</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References</w:t>
      </w:r>
    </w:p>
    <w:p>
      <w:pPr>
        <w:pStyle w:val="ListParagraph"/>
        <w:numPr>
          <w:ilvl w:val="0"/>
          <w:numId w:val="2"/>
        </w:numPr>
        <w:spacing w:after="40" w:before="40"/>
      </w:pPr>
      <w:r>
        <w:rPr>
          <w:rFonts w:ascii="Arial" w:cs="Arial" w:eastAsia="Arial" w:hAnsi="Arial"/>
          <w:color w:val="222222"/>
          <w:sz w:val="22"/>
          <w:szCs w:val="22"/>
        </w:rPr>
        <w:t xml:space="preserve">Teertha, S. (2020). US Health Insurance Dataset. Kaggle. https://www.kaggle.com/datasets/teertha/ushealthinsurancedataset</w:t>
      </w:r>
    </w:p>
    <w:p>
      <w:pPr>
        <w:pStyle w:val="ListParagraph"/>
        <w:numPr>
          <w:ilvl w:val="0"/>
          <w:numId w:val="2"/>
        </w:numPr>
        <w:spacing w:after="40" w:before="40"/>
      </w:pPr>
      <w:r>
        <w:rPr>
          <w:rFonts w:ascii="Arial" w:cs="Arial" w:eastAsia="Arial" w:hAnsi="Arial"/>
          <w:color w:val="222222"/>
          <w:sz w:val="22"/>
          <w:szCs w:val="22"/>
        </w:rPr>
        <w:t xml:space="preserve">Pedregosa, F. et al. (2011). Scikit-learn: Machine Learning in Python. Journal of Machine Learning Research, 12, 2825-2830.</w:t>
      </w:r>
    </w:p>
    <w:p>
      <w:pPr>
        <w:pStyle w:val="ListParagraph"/>
        <w:numPr>
          <w:ilvl w:val="0"/>
          <w:numId w:val="2"/>
        </w:numPr>
        <w:spacing w:after="40" w:before="40"/>
      </w:pPr>
      <w:r>
        <w:rPr>
          <w:rFonts w:ascii="Arial" w:cs="Arial" w:eastAsia="Arial" w:hAnsi="Arial"/>
          <w:color w:val="222222"/>
          <w:sz w:val="22"/>
          <w:szCs w:val="22"/>
        </w:rPr>
        <w:t xml:space="preserve">Breiman, L. (2001). Random Forests. Machine Learning, 45, 5-32.</w:t>
      </w:r>
    </w:p>
    <w:p>
      <w:pPr>
        <w:pStyle w:val="ListParagraph"/>
        <w:numPr>
          <w:ilvl w:val="0"/>
          <w:numId w:val="2"/>
        </w:numPr>
        <w:spacing w:after="40" w:before="40"/>
      </w:pPr>
      <w:r>
        <w:rPr>
          <w:rFonts w:ascii="Arial" w:cs="Arial" w:eastAsia="Arial" w:hAnsi="Arial"/>
          <w:color w:val="222222"/>
          <w:sz w:val="22"/>
          <w:szCs w:val="22"/>
        </w:rPr>
        <w:t xml:space="preserve">Streamlit Documentation. https://docs.streamlit.io</w:t>
      </w:r>
    </w:p>
    <w:p>
      <w:pPr>
        <w:pStyle w:val="ListParagraph"/>
        <w:numPr>
          <w:ilvl w:val="0"/>
          <w:numId w:val="2"/>
        </w:numPr>
        <w:spacing w:after="40" w:before="40"/>
      </w:pPr>
      <w:r>
        <w:rPr>
          <w:rFonts w:ascii="Arial" w:cs="Arial" w:eastAsia="Arial" w:hAnsi="Arial"/>
          <w:color w:val="222222"/>
          <w:sz w:val="22"/>
          <w:szCs w:val="22"/>
        </w:rPr>
        <w:t xml:space="preserve">Hoerl, A.E., &amp; Kennard, R.W. (1970). Ridge Regression. Technometrics, 12(1), 55-67.</w:t>
      </w:r>
    </w:p>
    <w:p>
      <w:pPr>
        <w:pStyle w:val="ListParagraph"/>
        <w:numPr>
          <w:ilvl w:val="0"/>
          <w:numId w:val="2"/>
        </w:numPr>
        <w:spacing w:after="40" w:before="40"/>
      </w:pPr>
      <w:r>
        <w:rPr>
          <w:rFonts w:ascii="Arial" w:cs="Arial" w:eastAsia="Arial" w:hAnsi="Arial"/>
          <w:color w:val="222222"/>
          <w:sz w:val="22"/>
          <w:szCs w:val="22"/>
        </w:rPr>
        <w:t xml:space="preserve">EDGE Program — Digital Skills for Students. IICT, DUET Gazipur.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2026-05-11T11:25:03.767Z</dcterms:created>
  <dcterms:modified xsi:type="dcterms:W3CDTF">2026-05-11T11:25:03.767Z</dcterms:modified>
</cp:coreProperties>
</file>

<file path=docProps/custom.xml><?xml version="1.0" encoding="utf-8"?>
<Properties xmlns="http://schemas.openxmlformats.org/officeDocument/2006/custom-properties" xmlns:vt="http://schemas.openxmlformats.org/officeDocument/2006/docPropsVTypes"/>
</file>